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024D"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Pensacola Christian College</w:t>
      </w:r>
    </w:p>
    <w:p w14:paraId="19D02F46" w14:textId="77777777" w:rsidR="003421B4" w:rsidRPr="003421B4" w:rsidRDefault="003421B4" w:rsidP="003421B4">
      <w:pPr>
        <w:tabs>
          <w:tab w:val="left" w:pos="5400"/>
        </w:tabs>
        <w:spacing w:after="0" w:line="240" w:lineRule="exact"/>
        <w:jc w:val="center"/>
        <w:rPr>
          <w:rFonts w:ascii="Times New Roman" w:eastAsia="Times New Roman" w:hAnsi="Times New Roman" w:cs="Times New Roman"/>
          <w:kern w:val="0"/>
          <w14:ligatures w14:val="none"/>
        </w:rPr>
      </w:pPr>
    </w:p>
    <w:p w14:paraId="62B2481A"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6C84E5B5" w14:textId="77777777" w:rsidR="003421B4" w:rsidRPr="003421B4" w:rsidRDefault="003421B4" w:rsidP="003421B4">
      <w:pPr>
        <w:tabs>
          <w:tab w:val="left" w:pos="5400"/>
        </w:tabs>
        <w:spacing w:after="0" w:line="240" w:lineRule="exact"/>
        <w:jc w:val="center"/>
        <w:rPr>
          <w:rFonts w:ascii="Times New Roman" w:eastAsia="Times New Roman" w:hAnsi="Times New Roman" w:cs="Times New Roman"/>
          <w:kern w:val="0"/>
          <w14:ligatures w14:val="none"/>
        </w:rPr>
      </w:pPr>
    </w:p>
    <w:p w14:paraId="416D4FE8" w14:textId="77777777" w:rsidR="003421B4" w:rsidRPr="003421B4" w:rsidRDefault="003421B4" w:rsidP="003421B4">
      <w:pPr>
        <w:tabs>
          <w:tab w:val="left" w:pos="5400"/>
        </w:tabs>
        <w:spacing w:after="0" w:line="240" w:lineRule="exact"/>
        <w:jc w:val="center"/>
        <w:rPr>
          <w:rFonts w:ascii="Times New Roman" w:eastAsia="Times New Roman" w:hAnsi="Times New Roman" w:cs="Times New Roman"/>
          <w:kern w:val="0"/>
          <w14:ligatures w14:val="none"/>
        </w:rPr>
      </w:pPr>
    </w:p>
    <w:p w14:paraId="199F5A90"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16213A4" w14:textId="77777777" w:rsidR="003421B4" w:rsidRPr="003421B4" w:rsidRDefault="003421B4" w:rsidP="003421B4">
      <w:pPr>
        <w:tabs>
          <w:tab w:val="left" w:pos="5400"/>
        </w:tabs>
        <w:spacing w:after="0" w:line="240" w:lineRule="exact"/>
        <w:jc w:val="center"/>
        <w:rPr>
          <w:rFonts w:ascii="Times New Roman" w:eastAsia="Times New Roman" w:hAnsi="Times New Roman" w:cs="Times New Roman"/>
          <w:kern w:val="0"/>
          <w14:ligatures w14:val="none"/>
        </w:rPr>
      </w:pPr>
    </w:p>
    <w:p w14:paraId="7A983F6F" w14:textId="77777777" w:rsidR="003421B4" w:rsidRPr="003421B4" w:rsidRDefault="003421B4" w:rsidP="003421B4">
      <w:pPr>
        <w:spacing w:after="0" w:line="240" w:lineRule="exact"/>
        <w:jc w:val="center"/>
        <w:rPr>
          <w:rFonts w:ascii="Times New Roman" w:eastAsia="Times New Roman" w:hAnsi="Times New Roman" w:cs="Times New Roman"/>
          <w:b/>
          <w:kern w:val="0"/>
          <w14:ligatures w14:val="none"/>
        </w:rPr>
      </w:pPr>
      <w:r w:rsidRPr="003421B4">
        <w:rPr>
          <w:rFonts w:ascii="Times New Roman" w:eastAsia="Times New Roman" w:hAnsi="Times New Roman" w:cs="Times New Roman"/>
          <w:b/>
          <w:kern w:val="0"/>
          <w14:ligatures w14:val="none"/>
        </w:rPr>
        <w:t>J&amp;L Railroad Case</w:t>
      </w:r>
    </w:p>
    <w:p w14:paraId="3DC682C1" w14:textId="77777777" w:rsidR="003421B4" w:rsidRPr="003421B4" w:rsidRDefault="003421B4" w:rsidP="003421B4">
      <w:pPr>
        <w:tabs>
          <w:tab w:val="left" w:pos="5220"/>
        </w:tabs>
        <w:spacing w:after="0" w:line="240" w:lineRule="exact"/>
        <w:jc w:val="center"/>
        <w:rPr>
          <w:rFonts w:ascii="Times New Roman" w:eastAsia="Times New Roman" w:hAnsi="Times New Roman" w:cs="Times New Roman"/>
          <w:kern w:val="0"/>
          <w14:ligatures w14:val="none"/>
        </w:rPr>
      </w:pPr>
    </w:p>
    <w:p w14:paraId="039302A7" w14:textId="77777777" w:rsidR="003421B4" w:rsidRPr="003421B4" w:rsidRDefault="003421B4" w:rsidP="003421B4">
      <w:pPr>
        <w:tabs>
          <w:tab w:val="left" w:pos="5220"/>
        </w:tabs>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Project #10</w:t>
      </w:r>
    </w:p>
    <w:p w14:paraId="39D980A8"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68298B84"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CDA22AB"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7770BA2F"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3AA38287"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2DD34CC9"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E358966"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A Project Submitted to</w:t>
      </w:r>
    </w:p>
    <w:p w14:paraId="06E4C162"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0DB9057" w14:textId="0AF64A24"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Mr</w:t>
      </w:r>
      <w:r w:rsidR="00930A78">
        <w:rPr>
          <w:rFonts w:ascii="Times New Roman" w:eastAsia="Times New Roman" w:hAnsi="Times New Roman" w:cs="Times New Roman"/>
          <w:kern w:val="0"/>
          <w14:ligatures w14:val="none"/>
        </w:rPr>
        <w:t xml:space="preserve">. </w:t>
      </w:r>
      <w:r w:rsidRPr="003421B4">
        <w:rPr>
          <w:rFonts w:ascii="Times New Roman" w:eastAsia="Times New Roman" w:hAnsi="Times New Roman" w:cs="Times New Roman"/>
          <w:kern w:val="0"/>
          <w14:ligatures w14:val="none"/>
        </w:rPr>
        <w:t>Nick Iwanowycz</w:t>
      </w:r>
    </w:p>
    <w:p w14:paraId="523D14DF"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0C56A2DB"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in Partial Fulfillment of</w:t>
      </w:r>
    </w:p>
    <w:p w14:paraId="72B257FD"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3EE67A19"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the Requirements for the Course</w:t>
      </w:r>
    </w:p>
    <w:p w14:paraId="2AE6EE38"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784DABB6"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FN 452</w:t>
      </w:r>
    </w:p>
    <w:p w14:paraId="56C16F5C"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55D9FB35"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Case Studies in Finance</w:t>
      </w:r>
    </w:p>
    <w:p w14:paraId="2686F17A"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21EAAB44"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42B9104B"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50B2D6C0"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77E564DB"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365B0EFC"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5E5AA2E6"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By</w:t>
      </w:r>
    </w:p>
    <w:p w14:paraId="56284B16"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62D57CA8" w14:textId="77777777" w:rsidR="003421B4" w:rsidRPr="003421B4" w:rsidRDefault="003421B4" w:rsidP="003421B4">
      <w:pPr>
        <w:spacing w:after="0" w:line="240" w:lineRule="exact"/>
        <w:jc w:val="center"/>
        <w:rPr>
          <w:rFonts w:ascii="Times New Roman" w:eastAsia="Times New Roman" w:hAnsi="Times New Roman" w:cs="Times New Roman"/>
          <w:b/>
          <w:kern w:val="0"/>
          <w14:ligatures w14:val="none"/>
        </w:rPr>
      </w:pPr>
      <w:r w:rsidRPr="003421B4">
        <w:rPr>
          <w:rFonts w:ascii="Times New Roman" w:eastAsia="Times New Roman" w:hAnsi="Times New Roman" w:cs="Times New Roman"/>
          <w:b/>
          <w:kern w:val="0"/>
          <w14:ligatures w14:val="none"/>
        </w:rPr>
        <w:t>Elijah Doering</w:t>
      </w:r>
    </w:p>
    <w:p w14:paraId="331C27ED" w14:textId="77777777" w:rsidR="003421B4" w:rsidRPr="003421B4" w:rsidRDefault="003421B4" w:rsidP="003421B4">
      <w:pPr>
        <w:spacing w:after="0" w:line="240" w:lineRule="exact"/>
        <w:jc w:val="center"/>
        <w:rPr>
          <w:rFonts w:ascii="Times New Roman" w:eastAsia="Times New Roman" w:hAnsi="Times New Roman" w:cs="Times New Roman"/>
          <w:b/>
          <w:kern w:val="0"/>
          <w14:ligatures w14:val="none"/>
        </w:rPr>
      </w:pPr>
      <w:r w:rsidRPr="003421B4">
        <w:rPr>
          <w:rFonts w:ascii="Times New Roman" w:eastAsia="Times New Roman" w:hAnsi="Times New Roman" w:cs="Times New Roman"/>
          <w:b/>
          <w:kern w:val="0"/>
          <w14:ligatures w14:val="none"/>
        </w:rPr>
        <w:t>Angel Gemilang</w:t>
      </w:r>
    </w:p>
    <w:p w14:paraId="5A348257" w14:textId="77777777" w:rsidR="003421B4" w:rsidRPr="003421B4" w:rsidRDefault="003421B4" w:rsidP="003421B4">
      <w:pPr>
        <w:spacing w:after="0" w:line="240" w:lineRule="exact"/>
        <w:jc w:val="center"/>
        <w:rPr>
          <w:rFonts w:ascii="Times New Roman" w:eastAsia="Times New Roman" w:hAnsi="Times New Roman" w:cs="Times New Roman"/>
          <w:b/>
          <w:kern w:val="0"/>
          <w14:ligatures w14:val="none"/>
        </w:rPr>
      </w:pPr>
      <w:r w:rsidRPr="003421B4">
        <w:rPr>
          <w:rFonts w:ascii="Times New Roman" w:eastAsia="Times New Roman" w:hAnsi="Times New Roman" w:cs="Times New Roman"/>
          <w:b/>
          <w:kern w:val="0"/>
          <w14:ligatures w14:val="none"/>
        </w:rPr>
        <w:t>Dane Kelley</w:t>
      </w:r>
    </w:p>
    <w:p w14:paraId="2B793C3E"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6508DAEE"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FC3D672"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3706A22A"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487FB6E"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3FC55A17"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11E07DD"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48206527"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Pensacola, Florida</w:t>
      </w:r>
    </w:p>
    <w:p w14:paraId="1DD56808"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p>
    <w:p w14:paraId="1F04ACBC" w14:textId="77777777" w:rsidR="003421B4" w:rsidRPr="003421B4" w:rsidRDefault="003421B4" w:rsidP="003421B4">
      <w:pPr>
        <w:spacing w:after="0" w:line="240" w:lineRule="exact"/>
        <w:jc w:val="center"/>
        <w:rPr>
          <w:rFonts w:ascii="Times New Roman" w:eastAsia="Times New Roman" w:hAnsi="Times New Roman" w:cs="Times New Roman"/>
          <w:kern w:val="0"/>
          <w14:ligatures w14:val="none"/>
        </w:rPr>
      </w:pPr>
      <w:r w:rsidRPr="003421B4">
        <w:rPr>
          <w:rFonts w:ascii="Times New Roman" w:eastAsia="Times New Roman" w:hAnsi="Times New Roman" w:cs="Times New Roman"/>
          <w:kern w:val="0"/>
          <w14:ligatures w14:val="none"/>
        </w:rPr>
        <w:t>April 28, 2025</w:t>
      </w:r>
    </w:p>
    <w:p w14:paraId="63C359F1" w14:textId="77777777" w:rsidR="003421B4" w:rsidRDefault="003421B4" w:rsidP="00095542">
      <w:pPr>
        <w:spacing w:line="480" w:lineRule="auto"/>
        <w:jc w:val="center"/>
        <w:rPr>
          <w:rFonts w:ascii="Times New Roman" w:hAnsi="Times New Roman" w:cs="Times New Roman"/>
          <w:b/>
          <w:bCs/>
          <w:sz w:val="32"/>
          <w:szCs w:val="32"/>
        </w:rPr>
      </w:pPr>
    </w:p>
    <w:p w14:paraId="34D927AC" w14:textId="77777777" w:rsidR="003421B4" w:rsidRDefault="003421B4" w:rsidP="00095542">
      <w:pPr>
        <w:spacing w:line="480" w:lineRule="auto"/>
        <w:jc w:val="center"/>
        <w:rPr>
          <w:rFonts w:ascii="Times New Roman" w:hAnsi="Times New Roman" w:cs="Times New Roman"/>
          <w:b/>
          <w:bCs/>
          <w:sz w:val="32"/>
          <w:szCs w:val="32"/>
        </w:rPr>
      </w:pPr>
    </w:p>
    <w:p w14:paraId="14344271" w14:textId="585E4DBD" w:rsidR="00095542" w:rsidRPr="00655810" w:rsidRDefault="00095542" w:rsidP="00095542">
      <w:pPr>
        <w:spacing w:line="480" w:lineRule="auto"/>
        <w:jc w:val="center"/>
        <w:rPr>
          <w:rFonts w:ascii="Times New Roman" w:hAnsi="Times New Roman" w:cs="Times New Roman"/>
          <w:b/>
          <w:bCs/>
          <w:sz w:val="32"/>
          <w:szCs w:val="32"/>
        </w:rPr>
      </w:pPr>
      <w:r w:rsidRPr="00655810">
        <w:rPr>
          <w:rFonts w:ascii="Times New Roman" w:hAnsi="Times New Roman" w:cs="Times New Roman"/>
          <w:b/>
          <w:bCs/>
          <w:sz w:val="32"/>
          <w:szCs w:val="32"/>
        </w:rPr>
        <w:lastRenderedPageBreak/>
        <w:t>Summary</w:t>
      </w:r>
    </w:p>
    <w:p w14:paraId="2FB76F65" w14:textId="4EBFA7B8" w:rsidR="00A72AEF" w:rsidRDefault="00411004" w:rsidP="001821F6">
      <w:pPr>
        <w:spacing w:line="480" w:lineRule="auto"/>
        <w:ind w:firstLine="720"/>
        <w:rPr>
          <w:rFonts w:ascii="Times New Roman" w:hAnsi="Times New Roman" w:cs="Times New Roman"/>
        </w:rPr>
      </w:pPr>
      <w:r w:rsidRPr="00411004">
        <w:rPr>
          <w:rFonts w:ascii="Times New Roman" w:hAnsi="Times New Roman" w:cs="Times New Roman"/>
        </w:rPr>
        <w:t xml:space="preserve">J&amp;L Railroad, a major </w:t>
      </w:r>
      <w:r w:rsidR="0028078E">
        <w:rPr>
          <w:rFonts w:ascii="Times New Roman" w:hAnsi="Times New Roman" w:cs="Times New Roman"/>
        </w:rPr>
        <w:t>Class 1 freight railroad,</w:t>
      </w:r>
      <w:r w:rsidRPr="00411004">
        <w:rPr>
          <w:rFonts w:ascii="Times New Roman" w:hAnsi="Times New Roman" w:cs="Times New Roman"/>
        </w:rPr>
        <w:t xml:space="preserve"> </w:t>
      </w:r>
      <w:r w:rsidR="00B43831" w:rsidRPr="00594E43">
        <w:rPr>
          <w:rFonts w:ascii="Times New Roman" w:hAnsi="Times New Roman" w:cs="Times New Roman"/>
        </w:rPr>
        <w:t xml:space="preserve">operates over 2,500 miles through the West and the </w:t>
      </w:r>
      <w:r w:rsidR="007D7778" w:rsidRPr="00594E43">
        <w:rPr>
          <w:rFonts w:ascii="Times New Roman" w:hAnsi="Times New Roman" w:cs="Times New Roman"/>
        </w:rPr>
        <w:t>Midwest</w:t>
      </w:r>
      <w:r w:rsidR="00930A78">
        <w:rPr>
          <w:rFonts w:ascii="Times New Roman" w:hAnsi="Times New Roman" w:cs="Times New Roman"/>
        </w:rPr>
        <w:t xml:space="preserve">.  </w:t>
      </w:r>
      <w:r w:rsidR="00825C08">
        <w:rPr>
          <w:rFonts w:ascii="Times New Roman" w:hAnsi="Times New Roman" w:cs="Times New Roman"/>
        </w:rPr>
        <w:t xml:space="preserve">The </w:t>
      </w:r>
      <w:r w:rsidR="00D02A6C">
        <w:rPr>
          <w:rFonts w:ascii="Times New Roman" w:hAnsi="Times New Roman" w:cs="Times New Roman"/>
        </w:rPr>
        <w:t xml:space="preserve">1980 Staggers Rail Act, which deregulated the railroad industry by easing </w:t>
      </w:r>
      <w:r w:rsidR="00413012">
        <w:rPr>
          <w:rFonts w:ascii="Times New Roman" w:hAnsi="Times New Roman" w:cs="Times New Roman"/>
        </w:rPr>
        <w:t>merger/acquisition restrictions, permitt</w:t>
      </w:r>
      <w:r w:rsidR="00D75793">
        <w:rPr>
          <w:rFonts w:ascii="Times New Roman" w:hAnsi="Times New Roman" w:cs="Times New Roman"/>
        </w:rPr>
        <w:t>ed</w:t>
      </w:r>
      <w:r w:rsidR="00413012">
        <w:rPr>
          <w:rFonts w:ascii="Times New Roman" w:hAnsi="Times New Roman" w:cs="Times New Roman"/>
        </w:rPr>
        <w:t xml:space="preserve"> private contract</w:t>
      </w:r>
      <w:r w:rsidR="00C866F5">
        <w:rPr>
          <w:rFonts w:ascii="Times New Roman" w:hAnsi="Times New Roman" w:cs="Times New Roman"/>
        </w:rPr>
        <w:t>s, and allow</w:t>
      </w:r>
      <w:r w:rsidR="00D75793">
        <w:rPr>
          <w:rFonts w:ascii="Times New Roman" w:hAnsi="Times New Roman" w:cs="Times New Roman"/>
        </w:rPr>
        <w:t>ed</w:t>
      </w:r>
      <w:r w:rsidR="00C866F5">
        <w:rPr>
          <w:rFonts w:ascii="Times New Roman" w:hAnsi="Times New Roman" w:cs="Times New Roman"/>
        </w:rPr>
        <w:t xml:space="preserve"> companies to set rates</w:t>
      </w:r>
      <w:r w:rsidR="00655824">
        <w:rPr>
          <w:rFonts w:ascii="Times New Roman" w:hAnsi="Times New Roman" w:cs="Times New Roman"/>
        </w:rPr>
        <w:t xml:space="preserve">, </w:t>
      </w:r>
      <w:r w:rsidR="0028078E">
        <w:rPr>
          <w:rFonts w:ascii="Times New Roman" w:hAnsi="Times New Roman" w:cs="Times New Roman"/>
        </w:rPr>
        <w:t xml:space="preserve">opened the industry to </w:t>
      </w:r>
      <w:r w:rsidR="00655824">
        <w:rPr>
          <w:rFonts w:ascii="Times New Roman" w:hAnsi="Times New Roman" w:cs="Times New Roman"/>
        </w:rPr>
        <w:t>free market c</w:t>
      </w:r>
      <w:r w:rsidR="0028078E">
        <w:rPr>
          <w:rFonts w:ascii="Times New Roman" w:hAnsi="Times New Roman" w:cs="Times New Roman"/>
        </w:rPr>
        <w:t>ompetition</w:t>
      </w:r>
      <w:r w:rsidR="00930A78">
        <w:rPr>
          <w:rFonts w:ascii="Times New Roman" w:hAnsi="Times New Roman" w:cs="Times New Roman"/>
        </w:rPr>
        <w:t xml:space="preserve">.  </w:t>
      </w:r>
      <w:r w:rsidR="00D75793">
        <w:rPr>
          <w:rFonts w:ascii="Times New Roman" w:hAnsi="Times New Roman" w:cs="Times New Roman"/>
        </w:rPr>
        <w:t>Trains</w:t>
      </w:r>
      <w:r w:rsidR="00E029C3" w:rsidRPr="00E029C3">
        <w:rPr>
          <w:rFonts w:ascii="Times New Roman" w:hAnsi="Times New Roman" w:cs="Times New Roman"/>
        </w:rPr>
        <w:t xml:space="preserve"> today transport freight nearly four times f</w:t>
      </w:r>
      <w:r w:rsidR="00D75793">
        <w:rPr>
          <w:rFonts w:ascii="Times New Roman" w:hAnsi="Times New Roman" w:cs="Times New Roman"/>
        </w:rPr>
        <w:t>u</w:t>
      </w:r>
      <w:r w:rsidR="00E029C3" w:rsidRPr="00E029C3">
        <w:rPr>
          <w:rFonts w:ascii="Times New Roman" w:hAnsi="Times New Roman" w:cs="Times New Roman"/>
        </w:rPr>
        <w:t>rther per gallon of fuel than trucks, providing a competitive advantage in</w:t>
      </w:r>
      <w:r w:rsidR="00E029C3">
        <w:rPr>
          <w:rFonts w:ascii="Times New Roman" w:hAnsi="Times New Roman" w:cs="Times New Roman"/>
        </w:rPr>
        <w:t xml:space="preserve"> </w:t>
      </w:r>
      <w:r w:rsidR="00E029C3" w:rsidRPr="00E029C3">
        <w:rPr>
          <w:rFonts w:ascii="Times New Roman" w:hAnsi="Times New Roman" w:cs="Times New Roman"/>
        </w:rPr>
        <w:t>efficiency</w:t>
      </w:r>
      <w:r w:rsidR="00930A78">
        <w:rPr>
          <w:rFonts w:ascii="Times New Roman" w:hAnsi="Times New Roman" w:cs="Times New Roman"/>
        </w:rPr>
        <w:t xml:space="preserve">.  </w:t>
      </w:r>
      <w:r w:rsidR="00E029C3">
        <w:rPr>
          <w:rFonts w:ascii="Times New Roman" w:hAnsi="Times New Roman" w:cs="Times New Roman"/>
        </w:rPr>
        <w:t>However,</w:t>
      </w:r>
      <w:r w:rsidR="00A72AEF">
        <w:rPr>
          <w:rFonts w:ascii="Times New Roman" w:hAnsi="Times New Roman" w:cs="Times New Roman"/>
        </w:rPr>
        <w:t xml:space="preserve"> </w:t>
      </w:r>
      <w:r w:rsidR="00A85F48" w:rsidRPr="00594E43">
        <w:rPr>
          <w:rFonts w:ascii="Times New Roman" w:hAnsi="Times New Roman" w:cs="Times New Roman"/>
        </w:rPr>
        <w:t xml:space="preserve">railroads </w:t>
      </w:r>
      <w:r w:rsidR="00E0351D" w:rsidRPr="00594E43">
        <w:rPr>
          <w:rFonts w:ascii="Times New Roman" w:hAnsi="Times New Roman" w:cs="Times New Roman"/>
        </w:rPr>
        <w:t>are vulnerable to fuel price volatili</w:t>
      </w:r>
      <w:r w:rsidR="003628D8" w:rsidRPr="00594E43">
        <w:rPr>
          <w:rFonts w:ascii="Times New Roman" w:hAnsi="Times New Roman" w:cs="Times New Roman"/>
        </w:rPr>
        <w:t>ty</w:t>
      </w:r>
      <w:r w:rsidR="00930A78">
        <w:rPr>
          <w:rFonts w:ascii="Times New Roman" w:hAnsi="Times New Roman" w:cs="Times New Roman"/>
        </w:rPr>
        <w:t xml:space="preserve">.  </w:t>
      </w:r>
    </w:p>
    <w:p w14:paraId="3D840E25" w14:textId="2205EA9F" w:rsidR="009630BF" w:rsidRPr="00594E43" w:rsidRDefault="003628D8" w:rsidP="00E46C7B">
      <w:pPr>
        <w:spacing w:line="480" w:lineRule="auto"/>
        <w:ind w:firstLine="720"/>
        <w:rPr>
          <w:rFonts w:ascii="Times New Roman" w:hAnsi="Times New Roman" w:cs="Times New Roman"/>
        </w:rPr>
      </w:pPr>
      <w:r w:rsidRPr="00594E43">
        <w:rPr>
          <w:rFonts w:ascii="Times New Roman" w:hAnsi="Times New Roman" w:cs="Times New Roman"/>
        </w:rPr>
        <w:t xml:space="preserve">Fuel prices have </w:t>
      </w:r>
      <w:r w:rsidR="002D4C28" w:rsidRPr="00594E43">
        <w:rPr>
          <w:rFonts w:ascii="Times New Roman" w:hAnsi="Times New Roman" w:cs="Times New Roman"/>
        </w:rPr>
        <w:t>historically</w:t>
      </w:r>
      <w:r w:rsidR="00612F2F" w:rsidRPr="00594E43">
        <w:rPr>
          <w:rFonts w:ascii="Times New Roman" w:hAnsi="Times New Roman" w:cs="Times New Roman"/>
        </w:rPr>
        <w:t xml:space="preserve"> increased</w:t>
      </w:r>
      <w:r w:rsidR="002D4C28" w:rsidRPr="00594E43">
        <w:rPr>
          <w:rFonts w:ascii="Times New Roman" w:hAnsi="Times New Roman" w:cs="Times New Roman"/>
        </w:rPr>
        <w:t xml:space="preserve"> </w:t>
      </w:r>
      <w:r w:rsidR="003345DE" w:rsidRPr="00594E43">
        <w:rPr>
          <w:rFonts w:ascii="Times New Roman" w:hAnsi="Times New Roman" w:cs="Times New Roman"/>
        </w:rPr>
        <w:t xml:space="preserve">as a percentage of sales </w:t>
      </w:r>
      <w:r w:rsidR="00CE6885">
        <w:rPr>
          <w:rFonts w:ascii="Times New Roman" w:hAnsi="Times New Roman" w:cs="Times New Roman"/>
        </w:rPr>
        <w:t xml:space="preserve">for J&amp;L </w:t>
      </w:r>
      <w:r w:rsidR="003345DE" w:rsidRPr="00594E43">
        <w:rPr>
          <w:rFonts w:ascii="Times New Roman" w:hAnsi="Times New Roman" w:cs="Times New Roman"/>
        </w:rPr>
        <w:t>sin</w:t>
      </w:r>
      <w:r w:rsidR="00075BA1" w:rsidRPr="00594E43">
        <w:rPr>
          <w:rFonts w:ascii="Times New Roman" w:hAnsi="Times New Roman" w:cs="Times New Roman"/>
        </w:rPr>
        <w:t>ce 2001</w:t>
      </w:r>
      <w:r w:rsidR="00930A78">
        <w:rPr>
          <w:rFonts w:ascii="Times New Roman" w:hAnsi="Times New Roman" w:cs="Times New Roman"/>
        </w:rPr>
        <w:t xml:space="preserve">.  </w:t>
      </w:r>
      <w:r w:rsidR="00D315CC">
        <w:rPr>
          <w:rFonts w:ascii="Times New Roman" w:hAnsi="Times New Roman" w:cs="Times New Roman"/>
        </w:rPr>
        <w:t>Long-term</w:t>
      </w:r>
      <w:r w:rsidR="006D2C03">
        <w:rPr>
          <w:rFonts w:ascii="Times New Roman" w:hAnsi="Times New Roman" w:cs="Times New Roman"/>
        </w:rPr>
        <w:t xml:space="preserve"> customer contracts, which fix shipping rates, have limited the industry’s pricing flexibility</w:t>
      </w:r>
      <w:r w:rsidR="00095542">
        <w:rPr>
          <w:rFonts w:ascii="Times New Roman" w:hAnsi="Times New Roman" w:cs="Times New Roman"/>
        </w:rPr>
        <w:t xml:space="preserve">, </w:t>
      </w:r>
      <w:r w:rsidR="00502A07">
        <w:rPr>
          <w:rFonts w:ascii="Times New Roman" w:hAnsi="Times New Roman" w:cs="Times New Roman"/>
        </w:rPr>
        <w:t>leading</w:t>
      </w:r>
      <w:r w:rsidR="006D2C03">
        <w:rPr>
          <w:rFonts w:ascii="Times New Roman" w:hAnsi="Times New Roman" w:cs="Times New Roman"/>
        </w:rPr>
        <w:t xml:space="preserve"> to com</w:t>
      </w:r>
      <w:r w:rsidR="00D315CC">
        <w:rPr>
          <w:rFonts w:ascii="Times New Roman" w:hAnsi="Times New Roman" w:cs="Times New Roman"/>
        </w:rPr>
        <w:t>pressed profit margins during periods of high fuel costs</w:t>
      </w:r>
      <w:r w:rsidR="00930A78">
        <w:rPr>
          <w:rFonts w:ascii="Times New Roman" w:hAnsi="Times New Roman" w:cs="Times New Roman"/>
        </w:rPr>
        <w:t xml:space="preserve">.  </w:t>
      </w:r>
      <w:r w:rsidR="00D315CC">
        <w:rPr>
          <w:rFonts w:ascii="Times New Roman" w:hAnsi="Times New Roman" w:cs="Times New Roman"/>
        </w:rPr>
        <w:t xml:space="preserve">In early 2008, diesel prices </w:t>
      </w:r>
      <w:r w:rsidR="00A3085C">
        <w:rPr>
          <w:rFonts w:ascii="Times New Roman" w:hAnsi="Times New Roman" w:cs="Times New Roman"/>
        </w:rPr>
        <w:t>rose to historical highs, compressing margins</w:t>
      </w:r>
      <w:r w:rsidR="00930A78">
        <w:rPr>
          <w:rFonts w:ascii="Times New Roman" w:hAnsi="Times New Roman" w:cs="Times New Roman"/>
        </w:rPr>
        <w:t xml:space="preserve">.  </w:t>
      </w:r>
      <w:r w:rsidR="00A40C45">
        <w:rPr>
          <w:rFonts w:ascii="Times New Roman" w:hAnsi="Times New Roman" w:cs="Times New Roman"/>
        </w:rPr>
        <w:t>Although fuel prices dropped to a four</w:t>
      </w:r>
      <w:r w:rsidR="00BF1598">
        <w:rPr>
          <w:rFonts w:ascii="Times New Roman" w:hAnsi="Times New Roman" w:cs="Times New Roman"/>
        </w:rPr>
        <w:t>-</w:t>
      </w:r>
      <w:r w:rsidR="00A40C45">
        <w:rPr>
          <w:rFonts w:ascii="Times New Roman" w:hAnsi="Times New Roman" w:cs="Times New Roman"/>
        </w:rPr>
        <w:t>year low by early 2009, d</w:t>
      </w:r>
      <w:r w:rsidR="005F3E3D">
        <w:rPr>
          <w:rFonts w:ascii="Times New Roman" w:hAnsi="Times New Roman" w:cs="Times New Roman"/>
        </w:rPr>
        <w:t>iesel prices started to rebound</w:t>
      </w:r>
      <w:r w:rsidR="00E46C7B">
        <w:rPr>
          <w:rFonts w:ascii="Times New Roman" w:hAnsi="Times New Roman" w:cs="Times New Roman"/>
        </w:rPr>
        <w:t xml:space="preserve"> </w:t>
      </w:r>
      <w:r w:rsidR="009C5440" w:rsidRPr="00594E43">
        <w:rPr>
          <w:rFonts w:ascii="Times New Roman" w:hAnsi="Times New Roman" w:cs="Times New Roman"/>
        </w:rPr>
        <w:t xml:space="preserve">leaving J&amp;L </w:t>
      </w:r>
      <w:r w:rsidR="00BF1598">
        <w:rPr>
          <w:rFonts w:ascii="Times New Roman" w:hAnsi="Times New Roman" w:cs="Times New Roman"/>
        </w:rPr>
        <w:t>R</w:t>
      </w:r>
      <w:r w:rsidR="009C5440" w:rsidRPr="00594E43">
        <w:rPr>
          <w:rFonts w:ascii="Times New Roman" w:hAnsi="Times New Roman" w:cs="Times New Roman"/>
        </w:rPr>
        <w:t xml:space="preserve">ailroad </w:t>
      </w:r>
      <w:r w:rsidR="00942928">
        <w:rPr>
          <w:rFonts w:ascii="Times New Roman" w:hAnsi="Times New Roman" w:cs="Times New Roman"/>
        </w:rPr>
        <w:t xml:space="preserve">to evaluate fuel hedging strategies </w:t>
      </w:r>
      <w:r w:rsidR="00582B07" w:rsidRPr="00594E43">
        <w:rPr>
          <w:rFonts w:ascii="Times New Roman" w:hAnsi="Times New Roman" w:cs="Times New Roman"/>
        </w:rPr>
        <w:t>as futures</w:t>
      </w:r>
      <w:r w:rsidR="0095138C">
        <w:rPr>
          <w:rFonts w:ascii="Times New Roman" w:hAnsi="Times New Roman" w:cs="Times New Roman"/>
        </w:rPr>
        <w:t xml:space="preserve"> markets</w:t>
      </w:r>
      <w:r w:rsidR="00582B07" w:rsidRPr="00594E43">
        <w:rPr>
          <w:rFonts w:ascii="Times New Roman" w:hAnsi="Times New Roman" w:cs="Times New Roman"/>
        </w:rPr>
        <w:t xml:space="preserve"> pr</w:t>
      </w:r>
      <w:r w:rsidR="0095138C">
        <w:rPr>
          <w:rFonts w:ascii="Times New Roman" w:hAnsi="Times New Roman" w:cs="Times New Roman"/>
        </w:rPr>
        <w:t>ojected</w:t>
      </w:r>
      <w:r w:rsidR="00582B07" w:rsidRPr="00594E43">
        <w:rPr>
          <w:rFonts w:ascii="Times New Roman" w:hAnsi="Times New Roman" w:cs="Times New Roman"/>
        </w:rPr>
        <w:t xml:space="preserve"> fuel prices to rise</w:t>
      </w:r>
      <w:r w:rsidR="00930A78">
        <w:rPr>
          <w:rFonts w:ascii="Times New Roman" w:hAnsi="Times New Roman" w:cs="Times New Roman"/>
        </w:rPr>
        <w:t xml:space="preserve">.  </w:t>
      </w:r>
      <w:r w:rsidR="005D61F1" w:rsidRPr="00594E43">
        <w:rPr>
          <w:rFonts w:ascii="Times New Roman" w:hAnsi="Times New Roman" w:cs="Times New Roman"/>
        </w:rPr>
        <w:t xml:space="preserve">Despite </w:t>
      </w:r>
      <w:r w:rsidR="005764F1" w:rsidRPr="00594E43">
        <w:rPr>
          <w:rFonts w:ascii="Times New Roman" w:hAnsi="Times New Roman" w:cs="Times New Roman"/>
        </w:rPr>
        <w:t xml:space="preserve">an increase in revenue, </w:t>
      </w:r>
      <w:r w:rsidR="00D8227C" w:rsidRPr="00594E43">
        <w:rPr>
          <w:rFonts w:ascii="Times New Roman" w:hAnsi="Times New Roman" w:cs="Times New Roman"/>
        </w:rPr>
        <w:t xml:space="preserve">the </w:t>
      </w:r>
      <w:r w:rsidR="00894963" w:rsidRPr="00594E43">
        <w:rPr>
          <w:rFonts w:ascii="Times New Roman" w:hAnsi="Times New Roman" w:cs="Times New Roman"/>
        </w:rPr>
        <w:t>company</w:t>
      </w:r>
      <w:r w:rsidR="00092124">
        <w:rPr>
          <w:rFonts w:ascii="Times New Roman" w:hAnsi="Times New Roman" w:cs="Times New Roman"/>
        </w:rPr>
        <w:t>’s</w:t>
      </w:r>
      <w:r w:rsidR="00D8227C" w:rsidRPr="00594E43">
        <w:rPr>
          <w:rFonts w:ascii="Times New Roman" w:hAnsi="Times New Roman" w:cs="Times New Roman"/>
        </w:rPr>
        <w:t xml:space="preserve"> operating income fell by 11%</w:t>
      </w:r>
      <w:r w:rsidR="000325F6" w:rsidRPr="00594E43">
        <w:rPr>
          <w:rFonts w:ascii="Times New Roman" w:hAnsi="Times New Roman" w:cs="Times New Roman"/>
        </w:rPr>
        <w:t>, driven</w:t>
      </w:r>
      <w:r w:rsidR="00D8227C" w:rsidRPr="00594E43">
        <w:rPr>
          <w:rFonts w:ascii="Times New Roman" w:hAnsi="Times New Roman" w:cs="Times New Roman"/>
        </w:rPr>
        <w:t xml:space="preserve"> by rising diesel costs</w:t>
      </w:r>
      <w:r w:rsidR="00930A78">
        <w:rPr>
          <w:rFonts w:ascii="Times New Roman" w:hAnsi="Times New Roman" w:cs="Times New Roman"/>
        </w:rPr>
        <w:t xml:space="preserve">.  </w:t>
      </w:r>
      <w:r w:rsidR="006377BF" w:rsidRPr="00594E43">
        <w:rPr>
          <w:rFonts w:ascii="Times New Roman" w:hAnsi="Times New Roman" w:cs="Times New Roman"/>
        </w:rPr>
        <w:t>The board</w:t>
      </w:r>
      <w:r w:rsidR="00EA6C3A">
        <w:rPr>
          <w:rFonts w:ascii="Times New Roman" w:hAnsi="Times New Roman" w:cs="Times New Roman"/>
        </w:rPr>
        <w:t xml:space="preserve"> </w:t>
      </w:r>
      <w:r w:rsidR="006377BF" w:rsidRPr="00594E43">
        <w:rPr>
          <w:rFonts w:ascii="Times New Roman" w:hAnsi="Times New Roman" w:cs="Times New Roman"/>
        </w:rPr>
        <w:t>concluded that continued exposure to unhedged fuel-price risk was unacceptable</w:t>
      </w:r>
      <w:r w:rsidR="00930A78">
        <w:rPr>
          <w:rFonts w:ascii="Times New Roman" w:hAnsi="Times New Roman" w:cs="Times New Roman"/>
        </w:rPr>
        <w:t xml:space="preserve">.  </w:t>
      </w:r>
    </w:p>
    <w:p w14:paraId="4B965315" w14:textId="6E01BE48" w:rsidR="002A5C8D" w:rsidRDefault="00C66251" w:rsidP="002A5C8D">
      <w:pPr>
        <w:spacing w:line="480" w:lineRule="auto"/>
        <w:ind w:firstLine="720"/>
        <w:rPr>
          <w:rFonts w:ascii="Times New Roman" w:hAnsi="Times New Roman" w:cs="Times New Roman"/>
        </w:rPr>
      </w:pPr>
      <w:r>
        <w:rPr>
          <w:rFonts w:ascii="Times New Roman" w:hAnsi="Times New Roman" w:cs="Times New Roman"/>
        </w:rPr>
        <w:t xml:space="preserve">J&amp;L Railroad </w:t>
      </w:r>
      <w:r w:rsidR="00E70AFA">
        <w:rPr>
          <w:rFonts w:ascii="Times New Roman" w:hAnsi="Times New Roman" w:cs="Times New Roman"/>
        </w:rPr>
        <w:t xml:space="preserve">cannot rely on fixed price contracts with fuel suppliers due to </w:t>
      </w:r>
      <w:r w:rsidR="003068C0">
        <w:rPr>
          <w:rFonts w:ascii="Times New Roman" w:hAnsi="Times New Roman" w:cs="Times New Roman"/>
        </w:rPr>
        <w:t>the threat of b</w:t>
      </w:r>
      <w:r w:rsidR="00D06C92">
        <w:rPr>
          <w:rFonts w:ascii="Times New Roman" w:hAnsi="Times New Roman" w:cs="Times New Roman"/>
        </w:rPr>
        <w:t>reach of contract from</w:t>
      </w:r>
      <w:r w:rsidR="003068C0">
        <w:rPr>
          <w:rFonts w:ascii="Times New Roman" w:hAnsi="Times New Roman" w:cs="Times New Roman"/>
        </w:rPr>
        <w:t xml:space="preserve"> their suppliers</w:t>
      </w:r>
      <w:r w:rsidR="00930A78">
        <w:rPr>
          <w:rFonts w:ascii="Times New Roman" w:hAnsi="Times New Roman" w:cs="Times New Roman"/>
        </w:rPr>
        <w:t xml:space="preserve">.  </w:t>
      </w:r>
      <w:r w:rsidR="000C63E7">
        <w:rPr>
          <w:rFonts w:ascii="Times New Roman" w:hAnsi="Times New Roman" w:cs="Times New Roman"/>
        </w:rPr>
        <w:t xml:space="preserve">As J&amp;L Railroad </w:t>
      </w:r>
      <w:r w:rsidR="00892B4E">
        <w:rPr>
          <w:rFonts w:ascii="Times New Roman" w:hAnsi="Times New Roman" w:cs="Times New Roman"/>
        </w:rPr>
        <w:t xml:space="preserve">faces </w:t>
      </w:r>
      <w:r w:rsidR="00645143">
        <w:rPr>
          <w:rFonts w:ascii="Times New Roman" w:hAnsi="Times New Roman" w:cs="Times New Roman"/>
        </w:rPr>
        <w:t>the worry</w:t>
      </w:r>
      <w:r w:rsidR="00892B4E">
        <w:rPr>
          <w:rFonts w:ascii="Times New Roman" w:hAnsi="Times New Roman" w:cs="Times New Roman"/>
        </w:rPr>
        <w:t xml:space="preserve"> of rising fuel costs, CFO </w:t>
      </w:r>
      <w:r w:rsidR="00F83766" w:rsidRPr="00594E43">
        <w:rPr>
          <w:rFonts w:ascii="Times New Roman" w:hAnsi="Times New Roman" w:cs="Times New Roman"/>
        </w:rPr>
        <w:t xml:space="preserve">Jeannine </w:t>
      </w:r>
      <w:r w:rsidR="00DC3BF8" w:rsidRPr="00594E43">
        <w:rPr>
          <w:rFonts w:ascii="Times New Roman" w:hAnsi="Times New Roman" w:cs="Times New Roman"/>
        </w:rPr>
        <w:t>Matthews</w:t>
      </w:r>
      <w:r w:rsidR="00F83766" w:rsidRPr="00594E43">
        <w:rPr>
          <w:rFonts w:ascii="Times New Roman" w:hAnsi="Times New Roman" w:cs="Times New Roman"/>
        </w:rPr>
        <w:t xml:space="preserve"> is tasked with present</w:t>
      </w:r>
      <w:r w:rsidR="004D0917" w:rsidRPr="00594E43">
        <w:rPr>
          <w:rFonts w:ascii="Times New Roman" w:hAnsi="Times New Roman" w:cs="Times New Roman"/>
        </w:rPr>
        <w:t xml:space="preserve">ing the most efficient </w:t>
      </w:r>
      <w:r w:rsidR="00513008" w:rsidRPr="00594E43">
        <w:rPr>
          <w:rFonts w:ascii="Times New Roman" w:hAnsi="Times New Roman" w:cs="Times New Roman"/>
        </w:rPr>
        <w:t xml:space="preserve">solution </w:t>
      </w:r>
      <w:r w:rsidR="00793F0A" w:rsidRPr="00594E43">
        <w:rPr>
          <w:rFonts w:ascii="Times New Roman" w:hAnsi="Times New Roman" w:cs="Times New Roman"/>
        </w:rPr>
        <w:t xml:space="preserve">to limit the </w:t>
      </w:r>
      <w:r w:rsidR="00D62DF6" w:rsidRPr="00594E43">
        <w:rPr>
          <w:rFonts w:ascii="Times New Roman" w:hAnsi="Times New Roman" w:cs="Times New Roman"/>
        </w:rPr>
        <w:t>company’s</w:t>
      </w:r>
      <w:r w:rsidR="00793F0A" w:rsidRPr="00594E43">
        <w:rPr>
          <w:rFonts w:ascii="Times New Roman" w:hAnsi="Times New Roman" w:cs="Times New Roman"/>
        </w:rPr>
        <w:t xml:space="preserve"> risk</w:t>
      </w:r>
      <w:r w:rsidR="00930A78">
        <w:rPr>
          <w:rFonts w:ascii="Times New Roman" w:hAnsi="Times New Roman" w:cs="Times New Roman"/>
        </w:rPr>
        <w:t xml:space="preserve">.  </w:t>
      </w:r>
      <w:r w:rsidR="00894035" w:rsidRPr="00594E43">
        <w:rPr>
          <w:rFonts w:ascii="Times New Roman" w:hAnsi="Times New Roman" w:cs="Times New Roman"/>
        </w:rPr>
        <w:t>This solution</w:t>
      </w:r>
      <w:r w:rsidR="00D62DF6" w:rsidRPr="00594E43">
        <w:rPr>
          <w:rFonts w:ascii="Times New Roman" w:hAnsi="Times New Roman" w:cs="Times New Roman"/>
        </w:rPr>
        <w:t xml:space="preserve"> must protect margins </w:t>
      </w:r>
      <w:r w:rsidR="00894035" w:rsidRPr="00594E43">
        <w:rPr>
          <w:rFonts w:ascii="Times New Roman" w:hAnsi="Times New Roman" w:cs="Times New Roman"/>
        </w:rPr>
        <w:t>without</w:t>
      </w:r>
      <w:r w:rsidR="00D62DF6" w:rsidRPr="00594E43">
        <w:rPr>
          <w:rFonts w:ascii="Times New Roman" w:hAnsi="Times New Roman" w:cs="Times New Roman"/>
        </w:rPr>
        <w:t xml:space="preserve"> </w:t>
      </w:r>
      <w:r w:rsidR="00894035" w:rsidRPr="00594E43">
        <w:rPr>
          <w:rFonts w:ascii="Times New Roman" w:hAnsi="Times New Roman" w:cs="Times New Roman"/>
        </w:rPr>
        <w:t>introducing more risk</w:t>
      </w:r>
      <w:r w:rsidR="00930A78">
        <w:rPr>
          <w:rFonts w:ascii="Times New Roman" w:hAnsi="Times New Roman" w:cs="Times New Roman"/>
        </w:rPr>
        <w:t xml:space="preserve">.  </w:t>
      </w:r>
      <w:r w:rsidR="00400337">
        <w:rPr>
          <w:rFonts w:ascii="Times New Roman" w:hAnsi="Times New Roman" w:cs="Times New Roman"/>
        </w:rPr>
        <w:t>Several hedging strategies are available to J&amp;L to manage this exposure</w:t>
      </w:r>
      <w:r w:rsidR="00930A78">
        <w:rPr>
          <w:rFonts w:ascii="Times New Roman" w:hAnsi="Times New Roman" w:cs="Times New Roman"/>
        </w:rPr>
        <w:t xml:space="preserve">.  </w:t>
      </w:r>
      <w:r w:rsidR="00785943">
        <w:rPr>
          <w:rFonts w:ascii="Times New Roman" w:hAnsi="Times New Roman" w:cs="Times New Roman"/>
        </w:rPr>
        <w:t xml:space="preserve">Matthews estimates the company will need approximately 17.5 million gallons of diesel </w:t>
      </w:r>
      <w:r w:rsidR="00DD5B93">
        <w:rPr>
          <w:rFonts w:ascii="Times New Roman" w:hAnsi="Times New Roman" w:cs="Times New Roman"/>
        </w:rPr>
        <w:t>f</w:t>
      </w:r>
      <w:r w:rsidR="00785943">
        <w:rPr>
          <w:rFonts w:ascii="Times New Roman" w:hAnsi="Times New Roman" w:cs="Times New Roman"/>
        </w:rPr>
        <w:t xml:space="preserve">uel per month (210 million </w:t>
      </w:r>
      <w:r w:rsidR="00DD5B93">
        <w:rPr>
          <w:rFonts w:ascii="Times New Roman" w:hAnsi="Times New Roman" w:cs="Times New Roman"/>
        </w:rPr>
        <w:t>gallons over the next</w:t>
      </w:r>
      <w:r w:rsidR="00F93D15">
        <w:rPr>
          <w:rFonts w:ascii="Times New Roman" w:hAnsi="Times New Roman" w:cs="Times New Roman"/>
        </w:rPr>
        <w:t xml:space="preserve"> </w:t>
      </w:r>
      <w:r w:rsidR="00785943">
        <w:rPr>
          <w:rFonts w:ascii="Times New Roman" w:hAnsi="Times New Roman" w:cs="Times New Roman"/>
        </w:rPr>
        <w:t>year)</w:t>
      </w:r>
      <w:r w:rsidR="00930A78">
        <w:rPr>
          <w:rFonts w:ascii="Times New Roman" w:hAnsi="Times New Roman" w:cs="Times New Roman"/>
        </w:rPr>
        <w:t xml:space="preserve">.  </w:t>
      </w:r>
      <w:r w:rsidR="00674054">
        <w:rPr>
          <w:rFonts w:ascii="Times New Roman" w:hAnsi="Times New Roman" w:cs="Times New Roman"/>
        </w:rPr>
        <w:t xml:space="preserve">The </w:t>
      </w:r>
      <w:r w:rsidR="00027A22">
        <w:rPr>
          <w:rFonts w:ascii="Times New Roman" w:hAnsi="Times New Roman" w:cs="Times New Roman"/>
        </w:rPr>
        <w:t xml:space="preserve">company’s exposure </w:t>
      </w:r>
      <w:r w:rsidR="00F93D15">
        <w:rPr>
          <w:rFonts w:ascii="Times New Roman" w:hAnsi="Times New Roman" w:cs="Times New Roman"/>
        </w:rPr>
        <w:t>to diesel price volatility c</w:t>
      </w:r>
      <w:r w:rsidR="00AE009F">
        <w:rPr>
          <w:rFonts w:ascii="Times New Roman" w:hAnsi="Times New Roman" w:cs="Times New Roman"/>
        </w:rPr>
        <w:t>an</w:t>
      </w:r>
      <w:r w:rsidR="00F93D15">
        <w:rPr>
          <w:rFonts w:ascii="Times New Roman" w:hAnsi="Times New Roman" w:cs="Times New Roman"/>
        </w:rPr>
        <w:t xml:space="preserve"> be mitigated</w:t>
      </w:r>
      <w:r w:rsidR="0079100F">
        <w:rPr>
          <w:rFonts w:ascii="Times New Roman" w:hAnsi="Times New Roman" w:cs="Times New Roman"/>
        </w:rPr>
        <w:t xml:space="preserve"> </w:t>
      </w:r>
      <w:r w:rsidR="0079100F">
        <w:rPr>
          <w:rFonts w:ascii="Times New Roman" w:hAnsi="Times New Roman" w:cs="Times New Roman"/>
        </w:rPr>
        <w:lastRenderedPageBreak/>
        <w:t xml:space="preserve">by option contracts and </w:t>
      </w:r>
      <w:r w:rsidR="00471494">
        <w:rPr>
          <w:rFonts w:ascii="Times New Roman" w:hAnsi="Times New Roman" w:cs="Times New Roman"/>
        </w:rPr>
        <w:t>heating oil futures on the New York Mercantile Exchange (NYMEX)</w:t>
      </w:r>
      <w:r w:rsidR="00930A78">
        <w:rPr>
          <w:rFonts w:ascii="Times New Roman" w:hAnsi="Times New Roman" w:cs="Times New Roman"/>
        </w:rPr>
        <w:t xml:space="preserve">.  </w:t>
      </w:r>
      <w:r w:rsidR="00400337">
        <w:rPr>
          <w:rFonts w:ascii="Times New Roman" w:hAnsi="Times New Roman" w:cs="Times New Roman"/>
        </w:rPr>
        <w:t xml:space="preserve">While NYMEX does not offer diesel </w:t>
      </w:r>
      <w:r w:rsidR="00941AB4">
        <w:rPr>
          <w:rFonts w:ascii="Times New Roman" w:hAnsi="Times New Roman" w:cs="Times New Roman"/>
        </w:rPr>
        <w:t>fuel</w:t>
      </w:r>
      <w:r w:rsidR="00AE009F">
        <w:rPr>
          <w:rFonts w:ascii="Times New Roman" w:hAnsi="Times New Roman" w:cs="Times New Roman"/>
        </w:rPr>
        <w:t xml:space="preserve"> futures</w:t>
      </w:r>
      <w:r w:rsidR="00400337">
        <w:rPr>
          <w:rFonts w:ascii="Times New Roman" w:hAnsi="Times New Roman" w:cs="Times New Roman"/>
        </w:rPr>
        <w:t xml:space="preserve">, </w:t>
      </w:r>
      <w:r w:rsidR="001852AF">
        <w:rPr>
          <w:rFonts w:ascii="Times New Roman" w:hAnsi="Times New Roman" w:cs="Times New Roman"/>
        </w:rPr>
        <w:t xml:space="preserve">they do offer </w:t>
      </w:r>
      <w:r w:rsidR="00941AB4">
        <w:rPr>
          <w:rFonts w:ascii="Times New Roman" w:hAnsi="Times New Roman" w:cs="Times New Roman"/>
        </w:rPr>
        <w:t xml:space="preserve">futures on </w:t>
      </w:r>
      <w:r w:rsidR="00400337">
        <w:rPr>
          <w:rFonts w:ascii="Times New Roman" w:hAnsi="Times New Roman" w:cs="Times New Roman"/>
        </w:rPr>
        <w:t>heating oil</w:t>
      </w:r>
      <w:r w:rsidR="008E6A05">
        <w:rPr>
          <w:rFonts w:ascii="Times New Roman" w:hAnsi="Times New Roman" w:cs="Times New Roman"/>
        </w:rPr>
        <w:t xml:space="preserve">, which </w:t>
      </w:r>
      <w:r w:rsidR="00941AB4">
        <w:rPr>
          <w:rFonts w:ascii="Times New Roman" w:hAnsi="Times New Roman" w:cs="Times New Roman"/>
        </w:rPr>
        <w:t>is highly correlated to diesel fuel</w:t>
      </w:r>
      <w:r w:rsidR="00930A78">
        <w:rPr>
          <w:rFonts w:ascii="Times New Roman" w:hAnsi="Times New Roman" w:cs="Times New Roman"/>
        </w:rPr>
        <w:t xml:space="preserve">.  </w:t>
      </w:r>
      <w:r w:rsidR="00936C04">
        <w:rPr>
          <w:rFonts w:ascii="Times New Roman" w:hAnsi="Times New Roman" w:cs="Times New Roman"/>
        </w:rPr>
        <w:t>The company c</w:t>
      </w:r>
      <w:r w:rsidR="00AE009F">
        <w:rPr>
          <w:rFonts w:ascii="Times New Roman" w:hAnsi="Times New Roman" w:cs="Times New Roman"/>
        </w:rPr>
        <w:t>an</w:t>
      </w:r>
      <w:r w:rsidR="00936C04">
        <w:rPr>
          <w:rFonts w:ascii="Times New Roman" w:hAnsi="Times New Roman" w:cs="Times New Roman"/>
        </w:rPr>
        <w:t xml:space="preserve"> also </w:t>
      </w:r>
      <w:r w:rsidR="00EC321B" w:rsidRPr="00EC321B">
        <w:rPr>
          <w:rFonts w:ascii="Times New Roman" w:hAnsi="Times New Roman" w:cs="Times New Roman"/>
        </w:rPr>
        <w:t>outsourc</w:t>
      </w:r>
      <w:r w:rsidR="00936C04">
        <w:rPr>
          <w:rFonts w:ascii="Times New Roman" w:hAnsi="Times New Roman" w:cs="Times New Roman"/>
        </w:rPr>
        <w:t>e</w:t>
      </w:r>
      <w:r w:rsidR="00EC321B" w:rsidRPr="00EC321B">
        <w:rPr>
          <w:rFonts w:ascii="Times New Roman" w:hAnsi="Times New Roman" w:cs="Times New Roman"/>
        </w:rPr>
        <w:t xml:space="preserve"> </w:t>
      </w:r>
      <w:r w:rsidR="00AE009F">
        <w:rPr>
          <w:rFonts w:ascii="Times New Roman" w:hAnsi="Times New Roman" w:cs="Times New Roman"/>
        </w:rPr>
        <w:t xml:space="preserve">risk management </w:t>
      </w:r>
      <w:r w:rsidR="00EC321B" w:rsidRPr="00EC321B">
        <w:rPr>
          <w:rFonts w:ascii="Times New Roman" w:hAnsi="Times New Roman" w:cs="Times New Roman"/>
        </w:rPr>
        <w:t>to Kansas City National Bank</w:t>
      </w:r>
      <w:r w:rsidR="00930A78">
        <w:rPr>
          <w:rFonts w:ascii="Times New Roman" w:hAnsi="Times New Roman" w:cs="Times New Roman"/>
        </w:rPr>
        <w:t xml:space="preserve"> (</w:t>
      </w:r>
      <w:r w:rsidR="003315ED">
        <w:rPr>
          <w:rFonts w:ascii="Times New Roman" w:hAnsi="Times New Roman" w:cs="Times New Roman"/>
        </w:rPr>
        <w:t>KCNB)</w:t>
      </w:r>
      <w:r w:rsidR="00EC321B" w:rsidRPr="00EC321B">
        <w:rPr>
          <w:rFonts w:ascii="Times New Roman" w:hAnsi="Times New Roman" w:cs="Times New Roman"/>
        </w:rPr>
        <w:t xml:space="preserve">, which offers customized derivatives (swaps, caps, floors, collars) linked to </w:t>
      </w:r>
      <w:r w:rsidR="00AE009F">
        <w:rPr>
          <w:rFonts w:ascii="Times New Roman" w:hAnsi="Times New Roman" w:cs="Times New Roman"/>
        </w:rPr>
        <w:t xml:space="preserve">heating </w:t>
      </w:r>
      <w:r w:rsidR="00EC321B" w:rsidRPr="00EC321B">
        <w:rPr>
          <w:rFonts w:ascii="Times New Roman" w:hAnsi="Times New Roman" w:cs="Times New Roman"/>
        </w:rPr>
        <w:t>oil prices</w:t>
      </w:r>
      <w:r w:rsidR="00930A78">
        <w:rPr>
          <w:rFonts w:ascii="Times New Roman" w:hAnsi="Times New Roman" w:cs="Times New Roman"/>
        </w:rPr>
        <w:t xml:space="preserve">.  </w:t>
      </w:r>
    </w:p>
    <w:p w14:paraId="30323AA8" w14:textId="2586FFA7" w:rsidR="073B0C17" w:rsidRPr="00AE009F" w:rsidRDefault="073B0C17" w:rsidP="74628E72">
      <w:pPr>
        <w:spacing w:line="480" w:lineRule="auto"/>
        <w:jc w:val="center"/>
        <w:rPr>
          <w:rFonts w:ascii="Times New Roman" w:hAnsi="Times New Roman" w:cs="Times New Roman"/>
          <w:b/>
          <w:bCs/>
        </w:rPr>
      </w:pPr>
      <w:r w:rsidRPr="00AE009F">
        <w:rPr>
          <w:rFonts w:ascii="Times New Roman" w:hAnsi="Times New Roman" w:cs="Times New Roman"/>
          <w:b/>
          <w:bCs/>
        </w:rPr>
        <w:t>NYM</w:t>
      </w:r>
      <w:r w:rsidR="003B2061" w:rsidRPr="00AE009F">
        <w:rPr>
          <w:rFonts w:ascii="Times New Roman" w:hAnsi="Times New Roman" w:cs="Times New Roman"/>
          <w:b/>
          <w:bCs/>
        </w:rPr>
        <w:t>E</w:t>
      </w:r>
      <w:r w:rsidRPr="00AE009F">
        <w:rPr>
          <w:rFonts w:ascii="Times New Roman" w:hAnsi="Times New Roman" w:cs="Times New Roman"/>
          <w:b/>
          <w:bCs/>
        </w:rPr>
        <w:t>X vs</w:t>
      </w:r>
      <w:r w:rsidR="00930A78">
        <w:rPr>
          <w:rFonts w:ascii="Times New Roman" w:hAnsi="Times New Roman" w:cs="Times New Roman"/>
          <w:b/>
          <w:bCs/>
        </w:rPr>
        <w:t xml:space="preserve">. </w:t>
      </w:r>
      <w:r w:rsidRPr="00AE009F">
        <w:rPr>
          <w:rFonts w:ascii="Times New Roman" w:hAnsi="Times New Roman" w:cs="Times New Roman"/>
          <w:b/>
          <w:bCs/>
        </w:rPr>
        <w:t>KCNB</w:t>
      </w:r>
    </w:p>
    <w:p w14:paraId="1602F034" w14:textId="7AC287E7" w:rsidR="00475ED2" w:rsidRDefault="073B0C17" w:rsidP="74628E72">
      <w:pPr>
        <w:spacing w:line="480" w:lineRule="auto"/>
        <w:ind w:firstLine="720"/>
        <w:rPr>
          <w:rFonts w:ascii="Times New Roman" w:eastAsia="Times New Roman" w:hAnsi="Times New Roman" w:cs="Times New Roman"/>
        </w:rPr>
      </w:pPr>
      <w:r w:rsidRPr="74628E72">
        <w:rPr>
          <w:rFonts w:ascii="Times New Roman" w:eastAsia="Times New Roman" w:hAnsi="Times New Roman" w:cs="Times New Roman"/>
        </w:rPr>
        <w:t xml:space="preserve">J&amp;L </w:t>
      </w:r>
      <w:r w:rsidR="003421B4">
        <w:rPr>
          <w:rFonts w:ascii="Times New Roman" w:eastAsia="Times New Roman" w:hAnsi="Times New Roman" w:cs="Times New Roman"/>
        </w:rPr>
        <w:t>R</w:t>
      </w:r>
      <w:r w:rsidRPr="74628E72">
        <w:rPr>
          <w:rFonts w:ascii="Times New Roman" w:eastAsia="Times New Roman" w:hAnsi="Times New Roman" w:cs="Times New Roman"/>
        </w:rPr>
        <w:t xml:space="preserve">ailroad should hedge its diesel fuel exposure using NYMEX heating oil futures instead of KCNB’s swaps because of (1) liquidity concerns, (2) upfront costs, </w:t>
      </w:r>
      <w:r w:rsidR="004E2C7D">
        <w:rPr>
          <w:rFonts w:ascii="Times New Roman" w:eastAsia="Times New Roman" w:hAnsi="Times New Roman" w:cs="Times New Roman"/>
        </w:rPr>
        <w:t xml:space="preserve">and </w:t>
      </w:r>
      <w:r w:rsidRPr="74628E72">
        <w:rPr>
          <w:rFonts w:ascii="Times New Roman" w:eastAsia="Times New Roman" w:hAnsi="Times New Roman" w:cs="Times New Roman"/>
        </w:rPr>
        <w:t>(3) counterparty risks</w:t>
      </w:r>
      <w:r w:rsidR="00930A78">
        <w:rPr>
          <w:rFonts w:ascii="Times New Roman" w:eastAsia="Times New Roman" w:hAnsi="Times New Roman" w:cs="Times New Roman"/>
        </w:rPr>
        <w:t xml:space="preserve">.  </w:t>
      </w:r>
    </w:p>
    <w:p w14:paraId="75D19B3D" w14:textId="44F4E5F9" w:rsidR="00A3283A" w:rsidRDefault="073B0C17" w:rsidP="74628E72">
      <w:pPr>
        <w:spacing w:line="480" w:lineRule="auto"/>
        <w:ind w:firstLine="720"/>
        <w:rPr>
          <w:rFonts w:ascii="Times New Roman" w:eastAsia="Times New Roman" w:hAnsi="Times New Roman" w:cs="Times New Roman"/>
        </w:rPr>
      </w:pPr>
      <w:r w:rsidRPr="74628E72">
        <w:rPr>
          <w:rFonts w:ascii="Times New Roman" w:eastAsia="Times New Roman" w:hAnsi="Times New Roman" w:cs="Times New Roman"/>
        </w:rPr>
        <w:t>First, KCNB’s swaps are locked to a fixed date</w:t>
      </w:r>
      <w:r w:rsidR="006C34BA">
        <w:rPr>
          <w:rFonts w:ascii="Times New Roman" w:eastAsia="Times New Roman" w:hAnsi="Times New Roman" w:cs="Times New Roman"/>
        </w:rPr>
        <w:t xml:space="preserve"> and cannot be sold on an exchange</w:t>
      </w:r>
      <w:r w:rsidRPr="74628E72">
        <w:rPr>
          <w:rFonts w:ascii="Times New Roman" w:eastAsia="Times New Roman" w:hAnsi="Times New Roman" w:cs="Times New Roman"/>
        </w:rPr>
        <w:t>, making it difficult to exit or adjust positions if market conditions change</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In contrast, NYMEX futures offer higher liquidity</w:t>
      </w:r>
      <w:r w:rsidR="00DE2A89">
        <w:rPr>
          <w:rFonts w:ascii="Times New Roman" w:eastAsia="Times New Roman" w:hAnsi="Times New Roman" w:cs="Times New Roman"/>
        </w:rPr>
        <w:t>, allowing</w:t>
      </w:r>
      <w:r w:rsidRPr="74628E72">
        <w:rPr>
          <w:rFonts w:ascii="Times New Roman" w:eastAsia="Times New Roman" w:hAnsi="Times New Roman" w:cs="Times New Roman"/>
        </w:rPr>
        <w:t xml:space="preserve"> </w:t>
      </w:r>
      <w:r w:rsidR="001B3AE0">
        <w:rPr>
          <w:rFonts w:ascii="Times New Roman" w:eastAsia="Times New Roman" w:hAnsi="Times New Roman" w:cs="Times New Roman"/>
        </w:rPr>
        <w:t xml:space="preserve">for more </w:t>
      </w:r>
      <w:r w:rsidRPr="74628E72">
        <w:rPr>
          <w:rFonts w:ascii="Times New Roman" w:eastAsia="Times New Roman" w:hAnsi="Times New Roman" w:cs="Times New Roman"/>
        </w:rPr>
        <w:t>manage</w:t>
      </w:r>
      <w:r w:rsidR="00DE2A89">
        <w:rPr>
          <w:rFonts w:ascii="Times New Roman" w:eastAsia="Times New Roman" w:hAnsi="Times New Roman" w:cs="Times New Roman"/>
        </w:rPr>
        <w:t>d</w:t>
      </w:r>
      <w:r w:rsidRPr="74628E72">
        <w:rPr>
          <w:rFonts w:ascii="Times New Roman" w:eastAsia="Times New Roman" w:hAnsi="Times New Roman" w:cs="Times New Roman"/>
        </w:rPr>
        <w:t xml:space="preserve"> exposure </w:t>
      </w:r>
      <w:r w:rsidR="001B3AE0">
        <w:rPr>
          <w:rFonts w:ascii="Times New Roman" w:eastAsia="Times New Roman" w:hAnsi="Times New Roman" w:cs="Times New Roman"/>
        </w:rPr>
        <w:t>since NYMEX futures</w:t>
      </w:r>
      <w:r w:rsidRPr="74628E72">
        <w:rPr>
          <w:rFonts w:ascii="Times New Roman" w:eastAsia="Times New Roman" w:hAnsi="Times New Roman" w:cs="Times New Roman"/>
        </w:rPr>
        <w:t xml:space="preserve"> can be easily traded</w:t>
      </w:r>
      <w:r w:rsidR="00930A78">
        <w:rPr>
          <w:rFonts w:ascii="Times New Roman" w:eastAsia="Times New Roman" w:hAnsi="Times New Roman" w:cs="Times New Roman"/>
        </w:rPr>
        <w:t xml:space="preserve">.  </w:t>
      </w:r>
      <w:r w:rsidR="008E6047">
        <w:rPr>
          <w:rFonts w:ascii="Times New Roman" w:eastAsia="Times New Roman" w:hAnsi="Times New Roman" w:cs="Times New Roman"/>
        </w:rPr>
        <w:t>If J&amp;L wished to exit an unfavorable position, the bank</w:t>
      </w:r>
      <w:r w:rsidR="005A3E44">
        <w:rPr>
          <w:rFonts w:ascii="Times New Roman" w:eastAsia="Times New Roman" w:hAnsi="Times New Roman" w:cs="Times New Roman"/>
        </w:rPr>
        <w:t xml:space="preserve"> in a favorable position would not allow cancellation</w:t>
      </w:r>
      <w:r w:rsidR="00930A78">
        <w:rPr>
          <w:rFonts w:ascii="Times New Roman" w:eastAsia="Times New Roman" w:hAnsi="Times New Roman" w:cs="Times New Roman"/>
        </w:rPr>
        <w:t xml:space="preserve">.  </w:t>
      </w:r>
    </w:p>
    <w:p w14:paraId="0B27FC7E" w14:textId="20701DB4" w:rsidR="00A3283A" w:rsidRDefault="073B0C17" w:rsidP="74628E72">
      <w:pPr>
        <w:spacing w:line="480" w:lineRule="auto"/>
        <w:ind w:firstLine="720"/>
        <w:rPr>
          <w:rFonts w:ascii="Times New Roman" w:eastAsia="Times New Roman" w:hAnsi="Times New Roman" w:cs="Times New Roman"/>
        </w:rPr>
      </w:pPr>
      <w:r w:rsidRPr="74628E72">
        <w:rPr>
          <w:rFonts w:ascii="Times New Roman" w:eastAsia="Times New Roman" w:hAnsi="Times New Roman" w:cs="Times New Roman"/>
        </w:rPr>
        <w:t>Second, KCNB swaps involve upfront costs</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NYM</w:t>
      </w:r>
      <w:r w:rsidR="003B2061">
        <w:rPr>
          <w:rFonts w:ascii="Times New Roman" w:eastAsia="Times New Roman" w:hAnsi="Times New Roman" w:cs="Times New Roman"/>
        </w:rPr>
        <w:t>E</w:t>
      </w:r>
      <w:r w:rsidRPr="74628E72">
        <w:rPr>
          <w:rFonts w:ascii="Times New Roman" w:eastAsia="Times New Roman" w:hAnsi="Times New Roman" w:cs="Times New Roman"/>
        </w:rPr>
        <w:t xml:space="preserve">X futures </w:t>
      </w:r>
      <w:r w:rsidR="00EC3416" w:rsidRPr="74628E72">
        <w:rPr>
          <w:rFonts w:ascii="Times New Roman" w:eastAsia="Times New Roman" w:hAnsi="Times New Roman" w:cs="Times New Roman"/>
        </w:rPr>
        <w:t>require</w:t>
      </w:r>
      <w:r w:rsidRPr="74628E72">
        <w:rPr>
          <w:rFonts w:ascii="Times New Roman" w:eastAsia="Times New Roman" w:hAnsi="Times New Roman" w:cs="Times New Roman"/>
        </w:rPr>
        <w:t xml:space="preserve"> a 5% initial margin on future, which is </w:t>
      </w:r>
      <w:r w:rsidR="002A762F">
        <w:rPr>
          <w:rFonts w:ascii="Times New Roman" w:eastAsia="Times New Roman" w:hAnsi="Times New Roman" w:cs="Times New Roman"/>
        </w:rPr>
        <w:t>recovered at maturity if the price does not change</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 xml:space="preserve">However, </w:t>
      </w:r>
      <w:r w:rsidR="002A762F">
        <w:rPr>
          <w:rFonts w:ascii="Times New Roman" w:eastAsia="Times New Roman" w:hAnsi="Times New Roman" w:cs="Times New Roman"/>
        </w:rPr>
        <w:t>when the price does change</w:t>
      </w:r>
      <w:r w:rsidR="008C3CBF">
        <w:rPr>
          <w:rFonts w:ascii="Times New Roman" w:eastAsia="Times New Roman" w:hAnsi="Times New Roman" w:cs="Times New Roman"/>
        </w:rPr>
        <w:t>, one party in the contract gets margin called</w:t>
      </w:r>
      <w:r w:rsidR="00EC3416">
        <w:rPr>
          <w:rFonts w:ascii="Times New Roman" w:eastAsia="Times New Roman" w:hAnsi="Times New Roman" w:cs="Times New Roman"/>
        </w:rPr>
        <w:t xml:space="preserve"> to put up more money to maintain the contract</w:t>
      </w:r>
      <w:r w:rsidR="00930A78">
        <w:rPr>
          <w:rFonts w:ascii="Times New Roman" w:eastAsia="Times New Roman" w:hAnsi="Times New Roman" w:cs="Times New Roman"/>
        </w:rPr>
        <w:t xml:space="preserve">.  </w:t>
      </w:r>
      <w:r w:rsidR="00EC3416">
        <w:rPr>
          <w:rFonts w:ascii="Times New Roman" w:eastAsia="Times New Roman" w:hAnsi="Times New Roman" w:cs="Times New Roman"/>
        </w:rPr>
        <w:t xml:space="preserve">If J&amp;L bought a futures contract and prices went down, the amount </w:t>
      </w:r>
      <w:r w:rsidR="00B239BA">
        <w:rPr>
          <w:rFonts w:ascii="Times New Roman" w:eastAsia="Times New Roman" w:hAnsi="Times New Roman" w:cs="Times New Roman"/>
        </w:rPr>
        <w:t>paid on the margin call would be offset by the amount saved from fuel costs</w:t>
      </w:r>
      <w:r w:rsidR="00930A78">
        <w:rPr>
          <w:rFonts w:ascii="Times New Roman" w:eastAsia="Times New Roman" w:hAnsi="Times New Roman" w:cs="Times New Roman"/>
        </w:rPr>
        <w:t xml:space="preserve">.  </w:t>
      </w:r>
      <w:r w:rsidR="000E259A">
        <w:rPr>
          <w:rFonts w:ascii="Times New Roman" w:eastAsia="Times New Roman" w:hAnsi="Times New Roman" w:cs="Times New Roman"/>
        </w:rPr>
        <w:t xml:space="preserve">The margin required to maintain a </w:t>
      </w:r>
      <w:r w:rsidR="00A81021">
        <w:rPr>
          <w:rFonts w:ascii="Times New Roman" w:eastAsia="Times New Roman" w:hAnsi="Times New Roman" w:cs="Times New Roman"/>
        </w:rPr>
        <w:t xml:space="preserve">hedge with futures contracts </w:t>
      </w:r>
      <w:r w:rsidR="005524F1">
        <w:rPr>
          <w:rFonts w:ascii="Times New Roman" w:eastAsia="Times New Roman" w:hAnsi="Times New Roman" w:cs="Times New Roman"/>
        </w:rPr>
        <w:t xml:space="preserve">is not a cost since it is used to pay if the contract becomes </w:t>
      </w:r>
      <w:r w:rsidR="006951DC">
        <w:rPr>
          <w:rFonts w:ascii="Times New Roman" w:eastAsia="Times New Roman" w:hAnsi="Times New Roman" w:cs="Times New Roman"/>
        </w:rPr>
        <w:t>unfavorable,</w:t>
      </w:r>
      <w:r w:rsidR="005524F1">
        <w:rPr>
          <w:rFonts w:ascii="Times New Roman" w:eastAsia="Times New Roman" w:hAnsi="Times New Roman" w:cs="Times New Roman"/>
        </w:rPr>
        <w:t xml:space="preserve"> or</w:t>
      </w:r>
      <w:r w:rsidR="006951DC">
        <w:rPr>
          <w:rFonts w:ascii="Times New Roman" w:eastAsia="Times New Roman" w:hAnsi="Times New Roman" w:cs="Times New Roman"/>
        </w:rPr>
        <w:t xml:space="preserve"> it is recovered in a favorable position at maturity</w:t>
      </w:r>
      <w:r w:rsidR="00930A78">
        <w:rPr>
          <w:rFonts w:ascii="Times New Roman" w:eastAsia="Times New Roman" w:hAnsi="Times New Roman" w:cs="Times New Roman"/>
        </w:rPr>
        <w:t xml:space="preserve">.  </w:t>
      </w:r>
      <w:r w:rsidR="00B82D62">
        <w:rPr>
          <w:rFonts w:ascii="Times New Roman" w:eastAsia="Times New Roman" w:hAnsi="Times New Roman" w:cs="Times New Roman"/>
        </w:rPr>
        <w:t>Conversely</w:t>
      </w:r>
      <w:r w:rsidR="006951DC">
        <w:rPr>
          <w:rFonts w:ascii="Times New Roman" w:eastAsia="Times New Roman" w:hAnsi="Times New Roman" w:cs="Times New Roman"/>
        </w:rPr>
        <w:t>,</w:t>
      </w:r>
      <w:r w:rsidR="00B82D62">
        <w:rPr>
          <w:rFonts w:ascii="Times New Roman" w:eastAsia="Times New Roman" w:hAnsi="Times New Roman" w:cs="Times New Roman"/>
        </w:rPr>
        <w:t xml:space="preserve"> KCNB requires an up-front, non</w:t>
      </w:r>
      <w:r w:rsidR="000E259A">
        <w:rPr>
          <w:rFonts w:ascii="Times New Roman" w:eastAsia="Times New Roman" w:hAnsi="Times New Roman" w:cs="Times New Roman"/>
        </w:rPr>
        <w:t>-</w:t>
      </w:r>
      <w:r w:rsidR="00B82D62">
        <w:rPr>
          <w:rFonts w:ascii="Times New Roman" w:eastAsia="Times New Roman" w:hAnsi="Times New Roman" w:cs="Times New Roman"/>
        </w:rPr>
        <w:t>refundable payment</w:t>
      </w:r>
      <w:r w:rsidR="006951DC">
        <w:rPr>
          <w:rFonts w:ascii="Times New Roman" w:eastAsia="Times New Roman" w:hAnsi="Times New Roman" w:cs="Times New Roman"/>
        </w:rPr>
        <w:t xml:space="preserve"> that is a cost of hedging</w:t>
      </w:r>
      <w:r w:rsidR="00930A78">
        <w:rPr>
          <w:rFonts w:ascii="Times New Roman" w:eastAsia="Times New Roman" w:hAnsi="Times New Roman" w:cs="Times New Roman"/>
        </w:rPr>
        <w:t xml:space="preserve">.  </w:t>
      </w:r>
    </w:p>
    <w:p w14:paraId="1731D6B0" w14:textId="15E16F6D" w:rsidR="00A3283A" w:rsidRDefault="073B0C17" w:rsidP="74628E72">
      <w:pPr>
        <w:spacing w:line="480" w:lineRule="auto"/>
        <w:ind w:firstLine="720"/>
        <w:rPr>
          <w:rFonts w:ascii="Times New Roman" w:eastAsia="Times New Roman" w:hAnsi="Times New Roman" w:cs="Times New Roman"/>
        </w:rPr>
      </w:pPr>
      <w:r w:rsidRPr="569084A8">
        <w:rPr>
          <w:rFonts w:ascii="Times New Roman" w:eastAsia="Times New Roman" w:hAnsi="Times New Roman" w:cs="Times New Roman"/>
        </w:rPr>
        <w:lastRenderedPageBreak/>
        <w:t xml:space="preserve">Third, KCNB is exposed to counterparty risk because the </w:t>
      </w:r>
      <w:r w:rsidR="00475ED2" w:rsidRPr="569084A8">
        <w:rPr>
          <w:rFonts w:ascii="Times New Roman" w:eastAsia="Times New Roman" w:hAnsi="Times New Roman" w:cs="Times New Roman"/>
        </w:rPr>
        <w:t>swap is not on an exchange</w:t>
      </w:r>
      <w:r w:rsidR="00930A78" w:rsidRPr="569084A8">
        <w:rPr>
          <w:rFonts w:ascii="Times New Roman" w:eastAsia="Times New Roman" w:hAnsi="Times New Roman" w:cs="Times New Roman"/>
        </w:rPr>
        <w:t xml:space="preserve">.  </w:t>
      </w:r>
      <w:r w:rsidRPr="569084A8">
        <w:rPr>
          <w:rFonts w:ascii="Times New Roman" w:eastAsia="Times New Roman" w:hAnsi="Times New Roman" w:cs="Times New Roman"/>
        </w:rPr>
        <w:t>If the bank were to fail</w:t>
      </w:r>
      <w:r w:rsidR="00A3283A" w:rsidRPr="569084A8">
        <w:rPr>
          <w:rFonts w:ascii="Times New Roman" w:eastAsia="Times New Roman" w:hAnsi="Times New Roman" w:cs="Times New Roman"/>
        </w:rPr>
        <w:t xml:space="preserve"> or to decide not to pay</w:t>
      </w:r>
      <w:r w:rsidRPr="569084A8">
        <w:rPr>
          <w:rFonts w:ascii="Times New Roman" w:eastAsia="Times New Roman" w:hAnsi="Times New Roman" w:cs="Times New Roman"/>
        </w:rPr>
        <w:t xml:space="preserve">, </w:t>
      </w:r>
      <w:r w:rsidR="00A3283A" w:rsidRPr="569084A8">
        <w:rPr>
          <w:rFonts w:ascii="Times New Roman" w:eastAsia="Times New Roman" w:hAnsi="Times New Roman" w:cs="Times New Roman"/>
        </w:rPr>
        <w:t>any benefit from the hedge would disappear</w:t>
      </w:r>
      <w:r w:rsidR="00930A78" w:rsidRPr="569084A8">
        <w:rPr>
          <w:rFonts w:ascii="Times New Roman" w:eastAsia="Times New Roman" w:hAnsi="Times New Roman" w:cs="Times New Roman"/>
        </w:rPr>
        <w:t xml:space="preserve">. </w:t>
      </w:r>
      <w:r w:rsidR="388968DF" w:rsidRPr="569084A8">
        <w:rPr>
          <w:rFonts w:ascii="Times New Roman" w:eastAsia="Times New Roman" w:hAnsi="Times New Roman" w:cs="Times New Roman"/>
        </w:rPr>
        <w:t xml:space="preserve">Hedging through NYMEX shifts counterparty risk to the exchange’s clearinghouse, which guarantees contract performance and effectively removes default risk.  </w:t>
      </w:r>
    </w:p>
    <w:p w14:paraId="6AE1854E" w14:textId="295A3D44" w:rsidR="073B0C17" w:rsidRDefault="073B0C17" w:rsidP="74628E72">
      <w:pPr>
        <w:spacing w:line="480" w:lineRule="auto"/>
        <w:ind w:firstLine="720"/>
      </w:pPr>
      <w:r w:rsidRPr="74628E72">
        <w:rPr>
          <w:rFonts w:ascii="Times New Roman" w:eastAsia="Times New Roman" w:hAnsi="Times New Roman" w:cs="Times New Roman"/>
        </w:rPr>
        <w:t>In addition, J&amp;L Railroad should hedge with NYMEX call options rather than KCNB’s c</w:t>
      </w:r>
      <w:r w:rsidR="005A3E44">
        <w:rPr>
          <w:rFonts w:ascii="Times New Roman" w:eastAsia="Times New Roman" w:hAnsi="Times New Roman" w:cs="Times New Roman"/>
        </w:rPr>
        <w:t>ap and floor</w:t>
      </w:r>
      <w:r w:rsidRPr="74628E72">
        <w:rPr>
          <w:rFonts w:ascii="Times New Roman" w:eastAsia="Times New Roman" w:hAnsi="Times New Roman" w:cs="Times New Roman"/>
        </w:rPr>
        <w:t xml:space="preserve"> options</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The bank bases its ca</w:t>
      </w:r>
      <w:r w:rsidR="005A3E44">
        <w:rPr>
          <w:rFonts w:ascii="Times New Roman" w:eastAsia="Times New Roman" w:hAnsi="Times New Roman" w:cs="Times New Roman"/>
        </w:rPr>
        <w:t>p</w:t>
      </w:r>
      <w:r w:rsidRPr="74628E72">
        <w:rPr>
          <w:rFonts w:ascii="Times New Roman" w:eastAsia="Times New Roman" w:hAnsi="Times New Roman" w:cs="Times New Roman"/>
        </w:rPr>
        <w:t xml:space="preserve"> options on monthly average prices rather than daily spot settlements</w:t>
      </w:r>
      <w:r w:rsidR="00930A78">
        <w:rPr>
          <w:rFonts w:ascii="Times New Roman" w:eastAsia="Times New Roman" w:hAnsi="Times New Roman" w:cs="Times New Roman"/>
        </w:rPr>
        <w:t xml:space="preserve">.  </w:t>
      </w:r>
      <w:r w:rsidR="00D1140F">
        <w:rPr>
          <w:rFonts w:ascii="Times New Roman" w:eastAsia="Times New Roman" w:hAnsi="Times New Roman" w:cs="Times New Roman"/>
        </w:rPr>
        <w:t>B</w:t>
      </w:r>
      <w:r w:rsidRPr="74628E72">
        <w:rPr>
          <w:rFonts w:ascii="Times New Roman" w:eastAsia="Times New Roman" w:hAnsi="Times New Roman" w:cs="Times New Roman"/>
        </w:rPr>
        <w:t xml:space="preserve">ecause KCNB’s </w:t>
      </w:r>
      <w:r w:rsidR="00BA5CE2">
        <w:rPr>
          <w:rFonts w:ascii="Times New Roman" w:eastAsia="Times New Roman" w:hAnsi="Times New Roman" w:cs="Times New Roman"/>
        </w:rPr>
        <w:t>derivative</w:t>
      </w:r>
      <w:r w:rsidRPr="74628E72">
        <w:rPr>
          <w:rFonts w:ascii="Times New Roman" w:eastAsia="Times New Roman" w:hAnsi="Times New Roman" w:cs="Times New Roman"/>
        </w:rPr>
        <w:t xml:space="preserve"> pricing is privately </w:t>
      </w:r>
      <w:r w:rsidR="00712836">
        <w:rPr>
          <w:rFonts w:ascii="Times New Roman" w:eastAsia="Times New Roman" w:hAnsi="Times New Roman" w:cs="Times New Roman"/>
        </w:rPr>
        <w:t>offered</w:t>
      </w:r>
      <w:r w:rsidRPr="74628E72">
        <w:rPr>
          <w:rFonts w:ascii="Times New Roman" w:eastAsia="Times New Roman" w:hAnsi="Times New Roman" w:cs="Times New Roman"/>
        </w:rPr>
        <w:t xml:space="preserve">, there is </w:t>
      </w:r>
      <w:r w:rsidR="00712836">
        <w:rPr>
          <w:rFonts w:ascii="Times New Roman" w:eastAsia="Times New Roman" w:hAnsi="Times New Roman" w:cs="Times New Roman"/>
        </w:rPr>
        <w:t xml:space="preserve">a </w:t>
      </w:r>
      <w:r w:rsidRPr="74628E72">
        <w:rPr>
          <w:rFonts w:ascii="Times New Roman" w:eastAsia="Times New Roman" w:hAnsi="Times New Roman" w:cs="Times New Roman"/>
        </w:rPr>
        <w:t>hidden spread and margin embedded into the premium, meaning the company would not know exactly how much it is paying over fair market value</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 xml:space="preserve">While NYMEX call options are priced transparently in a public market, KCNB’s </w:t>
      </w:r>
      <w:r w:rsidR="005F4A76">
        <w:rPr>
          <w:rFonts w:ascii="Times New Roman" w:eastAsia="Times New Roman" w:hAnsi="Times New Roman" w:cs="Times New Roman"/>
        </w:rPr>
        <w:t>option</w:t>
      </w:r>
      <w:r w:rsidRPr="74628E72">
        <w:rPr>
          <w:rFonts w:ascii="Times New Roman" w:eastAsia="Times New Roman" w:hAnsi="Times New Roman" w:cs="Times New Roman"/>
        </w:rPr>
        <w:t xml:space="preserve"> pricing lacks visibility, making true cost assessment difficult</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Furthermore, KCNB ca</w:t>
      </w:r>
      <w:r w:rsidR="005F4A76">
        <w:rPr>
          <w:rFonts w:ascii="Times New Roman" w:eastAsia="Times New Roman" w:hAnsi="Times New Roman" w:cs="Times New Roman"/>
        </w:rPr>
        <w:t>ps and floors</w:t>
      </w:r>
      <w:r w:rsidRPr="74628E72">
        <w:rPr>
          <w:rFonts w:ascii="Times New Roman" w:eastAsia="Times New Roman" w:hAnsi="Times New Roman" w:cs="Times New Roman"/>
        </w:rPr>
        <w:t xml:space="preserve"> are locked instruments, making it costly and operationally difficult to exit early if needed</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In contrast, NYMEX calls can be freely bought or sold, providing the company with much greater flexibility</w:t>
      </w:r>
      <w:r w:rsidR="00930A78">
        <w:rPr>
          <w:rFonts w:ascii="Times New Roman" w:eastAsia="Times New Roman" w:hAnsi="Times New Roman" w:cs="Times New Roman"/>
        </w:rPr>
        <w:t xml:space="preserve">.  </w:t>
      </w:r>
      <w:r w:rsidRPr="74628E72">
        <w:rPr>
          <w:rFonts w:ascii="Times New Roman" w:eastAsia="Times New Roman" w:hAnsi="Times New Roman" w:cs="Times New Roman"/>
        </w:rPr>
        <w:t xml:space="preserve">Given the lack of transparency, limited liquidity, and exposure to counterparty risk, KCNB’s </w:t>
      </w:r>
      <w:r w:rsidR="005F4A76">
        <w:rPr>
          <w:rFonts w:ascii="Times New Roman" w:eastAsia="Times New Roman" w:hAnsi="Times New Roman" w:cs="Times New Roman"/>
        </w:rPr>
        <w:t>derivatives</w:t>
      </w:r>
      <w:r w:rsidRPr="74628E72">
        <w:rPr>
          <w:rFonts w:ascii="Times New Roman" w:eastAsia="Times New Roman" w:hAnsi="Times New Roman" w:cs="Times New Roman"/>
        </w:rPr>
        <w:t xml:space="preserve"> are not an effective hedging tool compared to NYMEX options.</w:t>
      </w:r>
    </w:p>
    <w:p w14:paraId="67D966B9" w14:textId="77777777" w:rsidR="00655810" w:rsidRPr="00655810" w:rsidRDefault="00655810" w:rsidP="00655810">
      <w:pPr>
        <w:spacing w:line="480" w:lineRule="auto"/>
        <w:jc w:val="center"/>
        <w:rPr>
          <w:rFonts w:ascii="Times New Roman" w:eastAsia="Aptos" w:hAnsi="Times New Roman" w:cs="Times New Roman"/>
          <w:b/>
          <w:bCs/>
          <w:sz w:val="32"/>
          <w:szCs w:val="32"/>
        </w:rPr>
      </w:pPr>
      <w:r w:rsidRPr="00655810">
        <w:rPr>
          <w:rFonts w:ascii="Times New Roman" w:eastAsia="Aptos" w:hAnsi="Times New Roman" w:cs="Times New Roman"/>
          <w:b/>
          <w:bCs/>
          <w:sz w:val="32"/>
          <w:szCs w:val="32"/>
        </w:rPr>
        <w:t>The Model</w:t>
      </w:r>
    </w:p>
    <w:p w14:paraId="1A46B7D4" w14:textId="3DF7A0E8" w:rsidR="00655810" w:rsidRPr="00655810" w:rsidRDefault="00040038" w:rsidP="00655810">
      <w:pPr>
        <w:spacing w:line="480" w:lineRule="auto"/>
        <w:rPr>
          <w:rFonts w:ascii="Times New Roman" w:eastAsia="Aptos" w:hAnsi="Times New Roman" w:cs="Times New Roman"/>
        </w:rPr>
      </w:pPr>
      <w:r>
        <w:rPr>
          <w:rFonts w:ascii="Times New Roman" w:eastAsia="Aptos" w:hAnsi="Times New Roman" w:cs="Times New Roman"/>
        </w:rPr>
        <w:tab/>
        <w:t xml:space="preserve">The best way to hedge </w:t>
      </w:r>
      <w:r w:rsidR="00E93AB2">
        <w:rPr>
          <w:rFonts w:ascii="Times New Roman" w:eastAsia="Aptos" w:hAnsi="Times New Roman" w:cs="Times New Roman"/>
        </w:rPr>
        <w:t>from fluctuations in fuel prices is to use a combination of futures and call options on futures</w:t>
      </w:r>
      <w:r w:rsidR="00930A78">
        <w:rPr>
          <w:rFonts w:ascii="Times New Roman" w:eastAsia="Aptos" w:hAnsi="Times New Roman" w:cs="Times New Roman"/>
        </w:rPr>
        <w:t xml:space="preserve">.  </w:t>
      </w:r>
      <w:r w:rsidR="00655810" w:rsidRPr="00655810">
        <w:rPr>
          <w:rFonts w:ascii="Times New Roman" w:eastAsia="Aptos" w:hAnsi="Times New Roman" w:cs="Times New Roman"/>
        </w:rPr>
        <w:t>Our model to determine the best mixture of futures and call options includes the following drivers: gallons of diesel fuel needer per month of 17.5 million, the current diesel spot price of $1.367 per gallon and heating oil spot price of $1.357 per gallon, and a beta of heating oil to diesel of 0.896</w:t>
      </w:r>
      <w:r w:rsidR="00930A78">
        <w:rPr>
          <w:rFonts w:ascii="Times New Roman" w:eastAsia="Aptos" w:hAnsi="Times New Roman" w:cs="Times New Roman"/>
        </w:rPr>
        <w:t xml:space="preserve">.  </w:t>
      </w:r>
      <w:r w:rsidR="00655810" w:rsidRPr="00655810">
        <w:rPr>
          <w:rFonts w:ascii="Times New Roman" w:eastAsia="Aptos" w:hAnsi="Times New Roman" w:cs="Times New Roman"/>
        </w:rPr>
        <w:t>If the expectations for fuel needs changes from 17.5 million gallons per month, our model must be run again to find the new best hedging mixture</w:t>
      </w:r>
      <w:r w:rsidR="00930A78">
        <w:rPr>
          <w:rFonts w:ascii="Times New Roman" w:eastAsia="Aptos" w:hAnsi="Times New Roman" w:cs="Times New Roman"/>
        </w:rPr>
        <w:t xml:space="preserve">.  </w:t>
      </w:r>
      <w:r w:rsidR="00655810" w:rsidRPr="00655810">
        <w:rPr>
          <w:rFonts w:ascii="Times New Roman" w:eastAsia="Aptos" w:hAnsi="Times New Roman" w:cs="Times New Roman"/>
        </w:rPr>
        <w:lastRenderedPageBreak/>
        <w:t>The beta was obtained by finding the covariance of the price changes in heating oil and diesel prices and the variance of price changes in diesel</w:t>
      </w:r>
      <w:r w:rsidR="00930A78">
        <w:rPr>
          <w:rFonts w:ascii="Times New Roman" w:eastAsia="Aptos" w:hAnsi="Times New Roman" w:cs="Times New Roman"/>
        </w:rPr>
        <w:t xml:space="preserve">.  </w:t>
      </w:r>
      <w:r w:rsidR="00655810" w:rsidRPr="00655810">
        <w:rPr>
          <w:rFonts w:ascii="Times New Roman" w:eastAsia="Aptos" w:hAnsi="Times New Roman" w:cs="Times New Roman"/>
        </w:rPr>
        <w:t>It shows how much the price of heating oil changes with the price of diesel and is used to calculate beta-weighted delta</w:t>
      </w:r>
      <w:r w:rsidR="00930A78">
        <w:rPr>
          <w:rFonts w:ascii="Times New Roman" w:eastAsia="Aptos" w:hAnsi="Times New Roman" w:cs="Times New Roman"/>
        </w:rPr>
        <w:t xml:space="preserve">.  </w:t>
      </w:r>
    </w:p>
    <w:p w14:paraId="2606F3B8" w14:textId="2C5DC040" w:rsidR="00655810" w:rsidRPr="00655810" w:rsidRDefault="00655810" w:rsidP="00655810">
      <w:pPr>
        <w:spacing w:line="480" w:lineRule="auto"/>
        <w:rPr>
          <w:rFonts w:ascii="Times New Roman" w:eastAsia="Aptos" w:hAnsi="Times New Roman" w:cs="Times New Roman"/>
        </w:rPr>
      </w:pPr>
      <w:r w:rsidRPr="00655810">
        <w:rPr>
          <w:rFonts w:ascii="Times New Roman" w:eastAsia="Aptos" w:hAnsi="Times New Roman" w:cs="Times New Roman"/>
          <w:noProof/>
        </w:rPr>
        <w:drawing>
          <wp:anchor distT="0" distB="0" distL="114300" distR="114300" simplePos="0" relativeHeight="251658244" behindDoc="1" locked="0" layoutInCell="1" allowOverlap="1" wp14:anchorId="1A31E53B" wp14:editId="33090433">
            <wp:simplePos x="0" y="0"/>
            <wp:positionH relativeFrom="column">
              <wp:posOffset>3400425</wp:posOffset>
            </wp:positionH>
            <wp:positionV relativeFrom="paragraph">
              <wp:posOffset>3695065</wp:posOffset>
            </wp:positionV>
            <wp:extent cx="2476500" cy="962025"/>
            <wp:effectExtent l="0" t="0" r="0" b="9525"/>
            <wp:wrapTight wrapText="bothSides">
              <wp:wrapPolygon edited="0">
                <wp:start x="0" y="0"/>
                <wp:lineTo x="0" y="21386"/>
                <wp:lineTo x="21434" y="21386"/>
                <wp:lineTo x="21434" y="0"/>
                <wp:lineTo x="0" y="0"/>
              </wp:wrapPolygon>
            </wp:wrapTight>
            <wp:docPr id="18924940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962025"/>
                    </a:xfrm>
                    <a:prstGeom prst="rect">
                      <a:avLst/>
                    </a:prstGeom>
                    <a:noFill/>
                    <a:ln>
                      <a:noFill/>
                    </a:ln>
                  </pic:spPr>
                </pic:pic>
              </a:graphicData>
            </a:graphic>
          </wp:anchor>
        </w:drawing>
      </w:r>
      <w:r w:rsidRPr="00655810">
        <w:rPr>
          <w:rFonts w:ascii="Times New Roman" w:eastAsia="Aptos" w:hAnsi="Times New Roman" w:cs="Times New Roman"/>
        </w:rPr>
        <w:tab/>
        <w:t>The goal of the model is to attain a delta as close to zero as possible while minimizing the cost of hedging</w:t>
      </w:r>
      <w:r w:rsidR="00930A78">
        <w:rPr>
          <w:rFonts w:ascii="Times New Roman" w:eastAsia="Aptos" w:hAnsi="Times New Roman" w:cs="Times New Roman"/>
        </w:rPr>
        <w:t xml:space="preserve">.  </w:t>
      </w:r>
      <w:r w:rsidRPr="00655810">
        <w:rPr>
          <w:rFonts w:ascii="Times New Roman" w:eastAsia="Aptos" w:hAnsi="Times New Roman" w:cs="Times New Roman"/>
        </w:rPr>
        <w:t>This is done by entering futures contracts and buying and selling call options</w:t>
      </w:r>
      <w:r w:rsidR="00930A78">
        <w:rPr>
          <w:rFonts w:ascii="Times New Roman" w:eastAsia="Aptos" w:hAnsi="Times New Roman" w:cs="Times New Roman"/>
        </w:rPr>
        <w:t xml:space="preserve">.  </w:t>
      </w:r>
      <w:r w:rsidRPr="00655810">
        <w:rPr>
          <w:rFonts w:ascii="Times New Roman" w:eastAsia="Aptos" w:hAnsi="Times New Roman" w:cs="Times New Roman"/>
        </w:rPr>
        <w:t>All hedging is assumed to be done immediately</w:t>
      </w:r>
      <w:r w:rsidR="00930A78">
        <w:rPr>
          <w:rFonts w:ascii="Times New Roman" w:eastAsia="Aptos" w:hAnsi="Times New Roman" w:cs="Times New Roman"/>
        </w:rPr>
        <w:t xml:space="preserve">.  </w:t>
      </w:r>
      <w:r w:rsidRPr="00655810">
        <w:rPr>
          <w:rFonts w:ascii="Times New Roman" w:eastAsia="Aptos" w:hAnsi="Times New Roman" w:cs="Times New Roman"/>
        </w:rPr>
        <w:t xml:space="preserve">The optimal mix is generated algorithmically using solver with the constraint on portfolio beta-weighted delta of </w:t>
      </w:r>
      <w:r w:rsidRPr="00655810">
        <w:rPr>
          <w:rFonts w:ascii="Dotum" w:eastAsia="Dotum" w:hAnsi="Dotum" w:cs="Times New Roman" w:hint="eastAsia"/>
        </w:rPr>
        <w:t>±</w:t>
      </w:r>
      <w:r w:rsidRPr="00655810">
        <w:rPr>
          <w:rFonts w:ascii="Times New Roman" w:eastAsia="Aptos" w:hAnsi="Times New Roman" w:cs="Times New Roman"/>
        </w:rPr>
        <w:t>0.001</w:t>
      </w:r>
      <w:r w:rsidR="00930A78">
        <w:rPr>
          <w:rFonts w:ascii="Times New Roman" w:eastAsia="Aptos" w:hAnsi="Times New Roman" w:cs="Times New Roman"/>
        </w:rPr>
        <w:t xml:space="preserve">.  </w:t>
      </w:r>
      <w:r w:rsidRPr="00655810">
        <w:rPr>
          <w:rFonts w:ascii="Times New Roman" w:eastAsia="Aptos" w:hAnsi="Times New Roman" w:cs="Times New Roman"/>
        </w:rPr>
        <w:t>The total amount spent on diesel fuel for the month is negative delta and must be offset completely by futures and calls</w:t>
      </w:r>
      <w:r w:rsidR="00930A78">
        <w:rPr>
          <w:rFonts w:ascii="Times New Roman" w:eastAsia="Aptos" w:hAnsi="Times New Roman" w:cs="Times New Roman"/>
        </w:rPr>
        <w:t xml:space="preserve">.  </w:t>
      </w:r>
      <w:r w:rsidRPr="00655810">
        <w:rPr>
          <w:rFonts w:ascii="Times New Roman" w:eastAsia="Aptos" w:hAnsi="Times New Roman" w:cs="Times New Roman"/>
        </w:rPr>
        <w:t>Since the future spot price is needed to calculate the amount spent on diesel, we generate random variables spread across a normal distribution under four scenarios: up, down, way up, and way down</w:t>
      </w:r>
      <w:r w:rsidR="00930A78">
        <w:rPr>
          <w:rFonts w:ascii="Times New Roman" w:eastAsia="Aptos" w:hAnsi="Times New Roman" w:cs="Times New Roman"/>
        </w:rPr>
        <w:t xml:space="preserve">.  </w:t>
      </w:r>
      <w:r w:rsidRPr="00655810">
        <w:rPr>
          <w:rFonts w:ascii="Times New Roman" w:eastAsia="Aptos" w:hAnsi="Times New Roman" w:cs="Times New Roman"/>
        </w:rPr>
        <w:t>The means and standard deviations for each scenario have been calculated using data from movements in the heating oil spot price</w:t>
      </w:r>
      <w:r w:rsidR="00930A78">
        <w:rPr>
          <w:rFonts w:ascii="Times New Roman" w:eastAsia="Aptos" w:hAnsi="Times New Roman" w:cs="Times New Roman"/>
        </w:rPr>
        <w:t xml:space="preserve">.  </w:t>
      </w:r>
      <w:r w:rsidRPr="00655810">
        <w:rPr>
          <w:rFonts w:ascii="Times New Roman" w:eastAsia="Aptos" w:hAnsi="Times New Roman" w:cs="Times New Roman"/>
        </w:rPr>
        <w:t>The up and down scenarios have been selected from the periods that are relatively smooth, and the way up and way down scenarios have been selected from the periods of greatest change</w:t>
      </w:r>
      <w:r w:rsidR="00930A78">
        <w:rPr>
          <w:rFonts w:ascii="Times New Roman" w:eastAsia="Aptos" w:hAnsi="Times New Roman" w:cs="Times New Roman"/>
        </w:rPr>
        <w:t xml:space="preserve">.  </w:t>
      </w:r>
      <w:r w:rsidRPr="00655810">
        <w:rPr>
          <w:rFonts w:ascii="Times New Roman" w:eastAsia="Aptos" w:hAnsi="Times New Roman" w:cs="Times New Roman"/>
        </w:rPr>
        <w:t xml:space="preserve">Random price changes are generated 30 thousand times each month for each scenario to ensure a normal distribution of potential future spot </w:t>
      </w:r>
      <w:r w:rsidRPr="00655810">
        <w:rPr>
          <w:rFonts w:ascii="Times New Roman" w:eastAsia="Aptos" w:hAnsi="Times New Roman" w:cs="Times New Roman"/>
        </w:rPr>
        <w:lastRenderedPageBreak/>
        <w:t>prices</w:t>
      </w:r>
      <w:r w:rsidR="00930A78">
        <w:rPr>
          <w:rFonts w:ascii="Times New Roman" w:eastAsia="Aptos" w:hAnsi="Times New Roman" w:cs="Times New Roman"/>
        </w:rPr>
        <w:t xml:space="preserve">.  </w:t>
      </w:r>
      <w:r w:rsidRPr="00655810">
        <w:rPr>
          <w:rFonts w:ascii="Times New Roman" w:eastAsia="Aptos" w:hAnsi="Times New Roman" w:cs="Times New Roman"/>
        </w:rPr>
        <w:t>The Monte Carlo simulation for scenario is run separately, and then our strategy is applied to each</w:t>
      </w:r>
      <w:r w:rsidR="00930A78">
        <w:rPr>
          <w:rFonts w:ascii="Times New Roman" w:eastAsia="Aptos" w:hAnsi="Times New Roman" w:cs="Times New Roman"/>
        </w:rPr>
        <w:t xml:space="preserve">.  </w:t>
      </w:r>
      <w:r w:rsidRPr="00655810">
        <w:rPr>
          <w:rFonts w:ascii="Times New Roman" w:eastAsia="Aptos" w:hAnsi="Times New Roman" w:cs="Times New Roman"/>
        </w:rPr>
        <w:t xml:space="preserve">Overall, the model is run </w:t>
      </w:r>
      <w:r w:rsidR="003421B4" w:rsidRPr="00655810">
        <w:rPr>
          <w:rFonts w:ascii="Times New Roman" w:eastAsia="Aptos" w:hAnsi="Times New Roman" w:cs="Times New Roman"/>
          <w:noProof/>
        </w:rPr>
        <w:drawing>
          <wp:anchor distT="0" distB="0" distL="114300" distR="114300" simplePos="0" relativeHeight="251658240" behindDoc="1" locked="0" layoutInCell="1" allowOverlap="1" wp14:anchorId="69E1871A" wp14:editId="19978DBB">
            <wp:simplePos x="0" y="0"/>
            <wp:positionH relativeFrom="column">
              <wp:posOffset>219075</wp:posOffset>
            </wp:positionH>
            <wp:positionV relativeFrom="paragraph">
              <wp:posOffset>581025</wp:posOffset>
            </wp:positionV>
            <wp:extent cx="5296535" cy="3276600"/>
            <wp:effectExtent l="19050" t="19050" r="18415" b="19050"/>
            <wp:wrapTight wrapText="bothSides">
              <wp:wrapPolygon edited="0">
                <wp:start x="-78" y="-126"/>
                <wp:lineTo x="-78" y="21600"/>
                <wp:lineTo x="21597" y="21600"/>
                <wp:lineTo x="21597" y="-126"/>
                <wp:lineTo x="-78" y="-126"/>
              </wp:wrapPolygon>
            </wp:wrapTight>
            <wp:docPr id="1173908689" name="Picture 1" descr="A graph showing oil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08689" name="Picture 1" descr="A graph showing oil pric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296535" cy="3276600"/>
                    </a:xfrm>
                    <a:prstGeom prst="rect">
                      <a:avLst/>
                    </a:prstGeom>
                    <a:ln>
                      <a:solidFill>
                        <a:sysClr val="windowText" lastClr="000000"/>
                      </a:solidFill>
                    </a:ln>
                  </pic:spPr>
                </pic:pic>
              </a:graphicData>
            </a:graphic>
          </wp:anchor>
        </w:drawing>
      </w:r>
      <w:r w:rsidRPr="00655810">
        <w:rPr>
          <w:rFonts w:ascii="Times New Roman" w:eastAsia="Aptos" w:hAnsi="Times New Roman" w:cs="Times New Roman"/>
        </w:rPr>
        <w:t>120,000 times</w:t>
      </w:r>
      <w:r w:rsidR="00930A78">
        <w:rPr>
          <w:rFonts w:ascii="Times New Roman" w:eastAsia="Aptos" w:hAnsi="Times New Roman" w:cs="Times New Roman"/>
        </w:rPr>
        <w:t xml:space="preserve">.  </w:t>
      </w:r>
    </w:p>
    <w:p w14:paraId="73C09A0E" w14:textId="403174EB" w:rsidR="00655810" w:rsidRPr="00655810" w:rsidRDefault="00655810" w:rsidP="00655810">
      <w:pPr>
        <w:spacing w:line="480" w:lineRule="auto"/>
        <w:rPr>
          <w:rFonts w:ascii="Times New Roman" w:eastAsia="Aptos" w:hAnsi="Times New Roman" w:cs="Times New Roman"/>
        </w:rPr>
      </w:pPr>
      <w:r w:rsidRPr="00655810">
        <w:rPr>
          <w:rFonts w:ascii="Times New Roman" w:eastAsia="Aptos" w:hAnsi="Times New Roman" w:cs="Times New Roman"/>
          <w:noProof/>
        </w:rPr>
        <w:drawing>
          <wp:anchor distT="0" distB="0" distL="114300" distR="114300" simplePos="0" relativeHeight="251658243" behindDoc="1" locked="0" layoutInCell="1" allowOverlap="1" wp14:anchorId="4D80A7ED" wp14:editId="5BB7063D">
            <wp:simplePos x="0" y="0"/>
            <wp:positionH relativeFrom="column">
              <wp:posOffset>4572000</wp:posOffset>
            </wp:positionH>
            <wp:positionV relativeFrom="paragraph">
              <wp:posOffset>3197860</wp:posOffset>
            </wp:positionV>
            <wp:extent cx="1295400" cy="2486025"/>
            <wp:effectExtent l="0" t="0" r="0" b="9525"/>
            <wp:wrapTight wrapText="bothSides">
              <wp:wrapPolygon edited="0">
                <wp:start x="0" y="0"/>
                <wp:lineTo x="0" y="21517"/>
                <wp:lineTo x="21282" y="21517"/>
                <wp:lineTo x="21282" y="0"/>
                <wp:lineTo x="0" y="0"/>
              </wp:wrapPolygon>
            </wp:wrapTight>
            <wp:docPr id="10933491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2486025"/>
                    </a:xfrm>
                    <a:prstGeom prst="rect">
                      <a:avLst/>
                    </a:prstGeom>
                    <a:noFill/>
                    <a:ln>
                      <a:noFill/>
                    </a:ln>
                  </pic:spPr>
                </pic:pic>
              </a:graphicData>
            </a:graphic>
          </wp:anchor>
        </w:drawing>
      </w:r>
      <w:r w:rsidRPr="00655810">
        <w:rPr>
          <w:rFonts w:ascii="Times New Roman" w:eastAsia="Aptos" w:hAnsi="Times New Roman" w:cs="Times New Roman"/>
        </w:rPr>
        <w:tab/>
        <w:t>The model divides the hedging strategy into twelve one-month periods to correlate with the maturity of futures contracts</w:t>
      </w:r>
      <w:r w:rsidR="00930A78">
        <w:rPr>
          <w:rFonts w:ascii="Times New Roman" w:eastAsia="Aptos" w:hAnsi="Times New Roman" w:cs="Times New Roman"/>
        </w:rPr>
        <w:t xml:space="preserve">.  </w:t>
      </w:r>
      <w:r w:rsidRPr="00655810">
        <w:rPr>
          <w:rFonts w:ascii="Times New Roman" w:eastAsia="Aptos" w:hAnsi="Times New Roman" w:cs="Times New Roman"/>
        </w:rPr>
        <w:t>Since futures all have a delta of one, and do not have a premium, the model assumes that the contract with the lowest strike price is entered into for each month</w:t>
      </w:r>
      <w:r w:rsidR="00930A78">
        <w:rPr>
          <w:rFonts w:ascii="Times New Roman" w:eastAsia="Aptos" w:hAnsi="Times New Roman" w:cs="Times New Roman"/>
        </w:rPr>
        <w:t xml:space="preserve">.  </w:t>
      </w:r>
      <w:r w:rsidRPr="00655810">
        <w:rPr>
          <w:rFonts w:ascii="Times New Roman" w:eastAsia="Aptos" w:hAnsi="Times New Roman" w:cs="Times New Roman"/>
        </w:rPr>
        <w:t>The table to the right shows that the strike prices increase as the maturity increases, signaling the market expectations for heating oil prices to go up</w:t>
      </w:r>
      <w:r w:rsidR="00930A78">
        <w:rPr>
          <w:rFonts w:ascii="Times New Roman" w:eastAsia="Aptos" w:hAnsi="Times New Roman" w:cs="Times New Roman"/>
        </w:rPr>
        <w:t xml:space="preserve">.  </w:t>
      </w:r>
      <w:r w:rsidRPr="00655810">
        <w:rPr>
          <w:rFonts w:ascii="Times New Roman" w:eastAsia="Aptos" w:hAnsi="Times New Roman" w:cs="Times New Roman"/>
        </w:rPr>
        <w:t>The lowest strike price for each month is always the futures contract that expires at the end of said month, so that will be the contract purchased</w:t>
      </w:r>
      <w:r w:rsidR="00930A78">
        <w:rPr>
          <w:rFonts w:ascii="Times New Roman" w:eastAsia="Aptos" w:hAnsi="Times New Roman" w:cs="Times New Roman"/>
        </w:rPr>
        <w:t xml:space="preserve">.  </w:t>
      </w:r>
      <w:r w:rsidRPr="00655810">
        <w:rPr>
          <w:rFonts w:ascii="Times New Roman" w:eastAsia="Aptos" w:hAnsi="Times New Roman" w:cs="Times New Roman"/>
        </w:rPr>
        <w:t>The futures’ deltas are weighted with the 0.90 delta and size of 42.00 thousand gallons, resulting in a beta-weighted delta of 37.64 thousand for each contract relative to the price change in diesel spot price</w:t>
      </w:r>
      <w:r w:rsidR="00930A78">
        <w:rPr>
          <w:rFonts w:ascii="Times New Roman" w:eastAsia="Aptos" w:hAnsi="Times New Roman" w:cs="Times New Roman"/>
        </w:rPr>
        <w:t xml:space="preserve">.  </w:t>
      </w:r>
    </w:p>
    <w:p w14:paraId="3EE2FE7A" w14:textId="054FC136" w:rsidR="00655810" w:rsidRPr="00655810" w:rsidRDefault="00655810" w:rsidP="00655810">
      <w:pPr>
        <w:spacing w:line="480" w:lineRule="auto"/>
        <w:rPr>
          <w:rFonts w:ascii="Times New Roman" w:eastAsia="Aptos" w:hAnsi="Times New Roman" w:cs="Times New Roman"/>
        </w:rPr>
      </w:pPr>
      <w:r w:rsidRPr="00655810">
        <w:rPr>
          <w:rFonts w:ascii="Times New Roman" w:eastAsia="Aptos" w:hAnsi="Times New Roman" w:cs="Times New Roman"/>
        </w:rPr>
        <w:lastRenderedPageBreak/>
        <w:tab/>
        <w:t>For the call options, we calculate the delta for each using the Black-Scholes formula, then calculate the theta of each one</w:t>
      </w:r>
      <w:r w:rsidR="00930A78">
        <w:rPr>
          <w:rFonts w:ascii="Times New Roman" w:eastAsia="Aptos" w:hAnsi="Times New Roman" w:cs="Times New Roman"/>
        </w:rPr>
        <w:t xml:space="preserve">.  </w:t>
      </w:r>
      <w:r w:rsidRPr="00655810">
        <w:rPr>
          <w:rFonts w:ascii="Times New Roman" w:eastAsia="Aptos" w:hAnsi="Times New Roman" w:cs="Times New Roman"/>
        </w:rPr>
        <w:t>A call option with an expiration date prior to the start date of any month will not be used</w:t>
      </w:r>
      <w:r w:rsidR="00930A78">
        <w:rPr>
          <w:rFonts w:ascii="Times New Roman" w:eastAsia="Aptos" w:hAnsi="Times New Roman" w:cs="Times New Roman"/>
        </w:rPr>
        <w:t xml:space="preserve">.  </w:t>
      </w:r>
      <w:r w:rsidRPr="00655810">
        <w:rPr>
          <w:rFonts w:ascii="Times New Roman" w:eastAsia="Aptos" w:hAnsi="Times New Roman" w:cs="Times New Roman"/>
        </w:rPr>
        <w:t>Only calls that expire in or after the month are used, so that the call will be resold in the market</w:t>
      </w:r>
      <w:r w:rsidR="00930A78">
        <w:rPr>
          <w:rFonts w:ascii="Times New Roman" w:eastAsia="Aptos" w:hAnsi="Times New Roman" w:cs="Times New Roman"/>
        </w:rPr>
        <w:t xml:space="preserve">.  </w:t>
      </w:r>
      <w:r w:rsidRPr="00655810">
        <w:rPr>
          <w:rFonts w:ascii="Times New Roman" w:eastAsia="Aptos" w:hAnsi="Times New Roman" w:cs="Times New Roman"/>
        </w:rPr>
        <w:t>To determine the price of a call at the time of sale, we take the spot price of heating oil at that time, as randomly generated, and subtract the strike price to determine intrinsic value</w:t>
      </w:r>
      <w:r w:rsidR="00930A78">
        <w:rPr>
          <w:rFonts w:ascii="Times New Roman" w:eastAsia="Aptos" w:hAnsi="Times New Roman" w:cs="Times New Roman"/>
        </w:rPr>
        <w:t xml:space="preserve">.  </w:t>
      </w:r>
      <w:r w:rsidRPr="00655810">
        <w:rPr>
          <w:rFonts w:ascii="Times New Roman" w:eastAsia="Aptos" w:hAnsi="Times New Roman" w:cs="Times New Roman"/>
        </w:rPr>
        <w:t>If the option expires in the month which is being hedged, the time value is zero</w:t>
      </w:r>
      <w:r w:rsidR="00930A78">
        <w:rPr>
          <w:rFonts w:ascii="Times New Roman" w:eastAsia="Aptos" w:hAnsi="Times New Roman" w:cs="Times New Roman"/>
        </w:rPr>
        <w:t xml:space="preserve">.  </w:t>
      </w:r>
      <w:r w:rsidRPr="00655810">
        <w:rPr>
          <w:rFonts w:ascii="Times New Roman" w:eastAsia="Aptos" w:hAnsi="Times New Roman" w:cs="Times New Roman"/>
        </w:rPr>
        <w:t>If it does not expire, the daily theta is multiplied by the number of days between the dates that the call is bought then sold and subtracted from the beginning time value premium</w:t>
      </w:r>
      <w:r w:rsidR="00930A78">
        <w:rPr>
          <w:rFonts w:ascii="Times New Roman" w:eastAsia="Aptos" w:hAnsi="Times New Roman" w:cs="Times New Roman"/>
        </w:rPr>
        <w:t xml:space="preserve">.  </w:t>
      </w:r>
    </w:p>
    <w:p w14:paraId="25495DAC" w14:textId="7473B9B7" w:rsidR="00655810" w:rsidRPr="00655810" w:rsidRDefault="00655810" w:rsidP="00655810">
      <w:pPr>
        <w:spacing w:line="480" w:lineRule="auto"/>
        <w:rPr>
          <w:rFonts w:ascii="Times New Roman" w:eastAsia="Aptos" w:hAnsi="Times New Roman" w:cs="Times New Roman"/>
        </w:rPr>
      </w:pPr>
      <w:r w:rsidRPr="00655810">
        <w:rPr>
          <w:rFonts w:ascii="Times New Roman" w:eastAsia="Aptos" w:hAnsi="Times New Roman" w:cs="Times New Roman"/>
          <w:noProof/>
        </w:rPr>
        <w:drawing>
          <wp:anchor distT="0" distB="0" distL="114300" distR="114300" simplePos="0" relativeHeight="251658242" behindDoc="1" locked="0" layoutInCell="1" allowOverlap="1" wp14:anchorId="17773585" wp14:editId="534CDD3F">
            <wp:simplePos x="0" y="0"/>
            <wp:positionH relativeFrom="column">
              <wp:posOffset>1828800</wp:posOffset>
            </wp:positionH>
            <wp:positionV relativeFrom="paragraph">
              <wp:posOffset>2580640</wp:posOffset>
            </wp:positionV>
            <wp:extent cx="2466975" cy="2486025"/>
            <wp:effectExtent l="0" t="0" r="9525" b="9525"/>
            <wp:wrapTight wrapText="bothSides">
              <wp:wrapPolygon edited="0">
                <wp:start x="0" y="0"/>
                <wp:lineTo x="0" y="21517"/>
                <wp:lineTo x="21517" y="21517"/>
                <wp:lineTo x="21517" y="0"/>
                <wp:lineTo x="0" y="0"/>
              </wp:wrapPolygon>
            </wp:wrapTight>
            <wp:docPr id="15149922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2486025"/>
                    </a:xfrm>
                    <a:prstGeom prst="rect">
                      <a:avLst/>
                    </a:prstGeom>
                    <a:noFill/>
                    <a:ln>
                      <a:noFill/>
                    </a:ln>
                  </pic:spPr>
                </pic:pic>
              </a:graphicData>
            </a:graphic>
          </wp:anchor>
        </w:drawing>
      </w:r>
      <w:r w:rsidRPr="00655810">
        <w:rPr>
          <w:rFonts w:ascii="Times New Roman" w:eastAsia="Aptos" w:hAnsi="Times New Roman" w:cs="Times New Roman"/>
          <w:noProof/>
        </w:rPr>
        <w:drawing>
          <wp:anchor distT="0" distB="0" distL="114300" distR="114300" simplePos="0" relativeHeight="251658241" behindDoc="1" locked="0" layoutInCell="1" allowOverlap="1" wp14:anchorId="46D0A0FD" wp14:editId="4CBCE15A">
            <wp:simplePos x="0" y="0"/>
            <wp:positionH relativeFrom="column">
              <wp:posOffset>799465</wp:posOffset>
            </wp:positionH>
            <wp:positionV relativeFrom="paragraph">
              <wp:posOffset>980440</wp:posOffset>
            </wp:positionV>
            <wp:extent cx="4333875" cy="1517015"/>
            <wp:effectExtent l="0" t="0" r="9525" b="6985"/>
            <wp:wrapTight wrapText="bothSides">
              <wp:wrapPolygon edited="0">
                <wp:start x="0" y="0"/>
                <wp:lineTo x="0" y="21428"/>
                <wp:lineTo x="3798" y="21428"/>
                <wp:lineTo x="19654" y="21157"/>
                <wp:lineTo x="21553" y="20886"/>
                <wp:lineTo x="21553" y="0"/>
                <wp:lineTo x="0" y="0"/>
              </wp:wrapPolygon>
            </wp:wrapTight>
            <wp:docPr id="20534732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151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810">
        <w:rPr>
          <w:rFonts w:ascii="Times New Roman" w:eastAsia="Aptos" w:hAnsi="Times New Roman" w:cs="Times New Roman"/>
        </w:rPr>
        <w:tab/>
        <w:t>After the random variables are generated, solver is used to find the best combination of futures and calls</w:t>
      </w:r>
      <w:r w:rsidR="00930A78">
        <w:rPr>
          <w:rFonts w:ascii="Times New Roman" w:eastAsia="Aptos" w:hAnsi="Times New Roman" w:cs="Times New Roman"/>
        </w:rPr>
        <w:t xml:space="preserve">.  </w:t>
      </w:r>
      <w:r w:rsidRPr="00655810">
        <w:rPr>
          <w:rFonts w:ascii="Times New Roman" w:eastAsia="Aptos" w:hAnsi="Times New Roman" w:cs="Times New Roman"/>
        </w:rPr>
        <w:t>The tables below show how many futures to enter at which maturities, and which calls are bought at specified expirations and strike prices</w:t>
      </w:r>
      <w:r w:rsidR="00930A78">
        <w:rPr>
          <w:rFonts w:ascii="Times New Roman" w:eastAsia="Aptos" w:hAnsi="Times New Roman" w:cs="Times New Roman"/>
        </w:rPr>
        <w:t xml:space="preserve">.  </w:t>
      </w:r>
    </w:p>
    <w:p w14:paraId="0A9B50AD" w14:textId="77777777" w:rsidR="00655810" w:rsidRPr="00655810" w:rsidRDefault="00655810" w:rsidP="00655810">
      <w:pPr>
        <w:spacing w:line="480" w:lineRule="auto"/>
        <w:rPr>
          <w:rFonts w:ascii="Times New Roman" w:eastAsia="Aptos" w:hAnsi="Times New Roman" w:cs="Times New Roman"/>
        </w:rPr>
      </w:pPr>
    </w:p>
    <w:p w14:paraId="0372B160" w14:textId="77777777" w:rsidR="00655810" w:rsidRPr="00655810" w:rsidRDefault="00655810" w:rsidP="00655810">
      <w:pPr>
        <w:spacing w:line="480" w:lineRule="auto"/>
        <w:rPr>
          <w:rFonts w:ascii="Times New Roman" w:eastAsia="Aptos" w:hAnsi="Times New Roman" w:cs="Times New Roman"/>
        </w:rPr>
      </w:pPr>
    </w:p>
    <w:p w14:paraId="620B7003" w14:textId="77777777" w:rsidR="00655810" w:rsidRPr="00655810" w:rsidRDefault="00655810" w:rsidP="00655810">
      <w:pPr>
        <w:spacing w:line="480" w:lineRule="auto"/>
        <w:rPr>
          <w:rFonts w:ascii="Times New Roman" w:eastAsia="Aptos" w:hAnsi="Times New Roman" w:cs="Times New Roman"/>
        </w:rPr>
      </w:pPr>
    </w:p>
    <w:p w14:paraId="6BD50F82" w14:textId="77777777" w:rsidR="00655810" w:rsidRPr="00655810" w:rsidRDefault="00655810" w:rsidP="00655810">
      <w:pPr>
        <w:spacing w:line="480" w:lineRule="auto"/>
        <w:rPr>
          <w:rFonts w:ascii="Times New Roman" w:eastAsia="Aptos" w:hAnsi="Times New Roman" w:cs="Times New Roman"/>
        </w:rPr>
      </w:pPr>
    </w:p>
    <w:p w14:paraId="67C0E80F" w14:textId="77777777" w:rsidR="00655810" w:rsidRPr="00655810" w:rsidRDefault="00655810" w:rsidP="00655810">
      <w:pPr>
        <w:spacing w:line="480" w:lineRule="auto"/>
        <w:rPr>
          <w:rFonts w:ascii="Times New Roman" w:eastAsia="Aptos" w:hAnsi="Times New Roman" w:cs="Times New Roman"/>
        </w:rPr>
      </w:pPr>
    </w:p>
    <w:p w14:paraId="6E936EC6" w14:textId="77777777" w:rsidR="00655810" w:rsidRPr="00655810" w:rsidRDefault="00655810" w:rsidP="00655810">
      <w:pPr>
        <w:spacing w:line="480" w:lineRule="auto"/>
        <w:rPr>
          <w:rFonts w:ascii="Times New Roman" w:eastAsia="Aptos" w:hAnsi="Times New Roman" w:cs="Times New Roman"/>
        </w:rPr>
      </w:pPr>
    </w:p>
    <w:p w14:paraId="290D8E47" w14:textId="77777777" w:rsidR="00655810" w:rsidRPr="00655810" w:rsidRDefault="00655810" w:rsidP="00655810">
      <w:pPr>
        <w:spacing w:line="480" w:lineRule="auto"/>
        <w:rPr>
          <w:rFonts w:ascii="Times New Roman" w:eastAsia="Aptos" w:hAnsi="Times New Roman" w:cs="Times New Roman"/>
        </w:rPr>
      </w:pPr>
    </w:p>
    <w:p w14:paraId="08180673" w14:textId="77777777" w:rsidR="00655810" w:rsidRPr="00655810" w:rsidRDefault="00655810" w:rsidP="00655810">
      <w:pPr>
        <w:spacing w:line="480" w:lineRule="auto"/>
        <w:rPr>
          <w:rFonts w:ascii="Times New Roman" w:eastAsia="Aptos" w:hAnsi="Times New Roman" w:cs="Times New Roman"/>
        </w:rPr>
      </w:pPr>
    </w:p>
    <w:p w14:paraId="1CBC164A" w14:textId="77777777" w:rsidR="00655810" w:rsidRPr="00655810" w:rsidRDefault="00655810" w:rsidP="00655810">
      <w:pPr>
        <w:spacing w:line="480" w:lineRule="auto"/>
        <w:rPr>
          <w:rFonts w:ascii="Times New Roman" w:eastAsia="Aptos" w:hAnsi="Times New Roman" w:cs="Times New Roman"/>
        </w:rPr>
      </w:pPr>
    </w:p>
    <w:p w14:paraId="76AFC44F" w14:textId="77777777" w:rsidR="00655810" w:rsidRPr="00655810" w:rsidRDefault="00655810" w:rsidP="00655810">
      <w:pPr>
        <w:spacing w:line="480" w:lineRule="auto"/>
        <w:jc w:val="center"/>
        <w:rPr>
          <w:rFonts w:ascii="Times New Roman" w:eastAsia="Aptos" w:hAnsi="Times New Roman" w:cs="Times New Roman"/>
          <w:b/>
          <w:bCs/>
          <w:sz w:val="32"/>
          <w:szCs w:val="32"/>
        </w:rPr>
      </w:pPr>
      <w:r w:rsidRPr="00655810">
        <w:rPr>
          <w:rFonts w:ascii="Times New Roman" w:eastAsia="Aptos" w:hAnsi="Times New Roman" w:cs="Times New Roman"/>
          <w:noProof/>
        </w:rPr>
        <w:lastRenderedPageBreak/>
        <w:drawing>
          <wp:anchor distT="0" distB="0" distL="114300" distR="114300" simplePos="0" relativeHeight="251658248" behindDoc="1" locked="0" layoutInCell="1" allowOverlap="1" wp14:anchorId="051E1290" wp14:editId="6DBAE21F">
            <wp:simplePos x="0" y="0"/>
            <wp:positionH relativeFrom="column">
              <wp:posOffset>3086100</wp:posOffset>
            </wp:positionH>
            <wp:positionV relativeFrom="paragraph">
              <wp:posOffset>1981200</wp:posOffset>
            </wp:positionV>
            <wp:extent cx="2546350" cy="1247775"/>
            <wp:effectExtent l="0" t="0" r="6350" b="0"/>
            <wp:wrapTight wrapText="bothSides">
              <wp:wrapPolygon edited="0">
                <wp:start x="0" y="0"/>
                <wp:lineTo x="0" y="21105"/>
                <wp:lineTo x="21492" y="21105"/>
                <wp:lineTo x="21492" y="0"/>
                <wp:lineTo x="0" y="0"/>
              </wp:wrapPolygon>
            </wp:wrapTight>
            <wp:docPr id="18892318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810">
        <w:rPr>
          <w:rFonts w:ascii="Times New Roman" w:eastAsia="Aptos" w:hAnsi="Times New Roman" w:cs="Times New Roman"/>
          <w:noProof/>
        </w:rPr>
        <w:drawing>
          <wp:anchor distT="0" distB="0" distL="114300" distR="114300" simplePos="0" relativeHeight="251658247" behindDoc="1" locked="0" layoutInCell="1" allowOverlap="1" wp14:anchorId="3581A7DD" wp14:editId="4A1192A4">
            <wp:simplePos x="0" y="0"/>
            <wp:positionH relativeFrom="column">
              <wp:posOffset>342900</wp:posOffset>
            </wp:positionH>
            <wp:positionV relativeFrom="paragraph">
              <wp:posOffset>1981200</wp:posOffset>
            </wp:positionV>
            <wp:extent cx="2546350" cy="1247775"/>
            <wp:effectExtent l="0" t="0" r="6350" b="0"/>
            <wp:wrapTight wrapText="bothSides">
              <wp:wrapPolygon edited="0">
                <wp:start x="0" y="0"/>
                <wp:lineTo x="0" y="21105"/>
                <wp:lineTo x="21492" y="21105"/>
                <wp:lineTo x="21492" y="0"/>
                <wp:lineTo x="0" y="0"/>
              </wp:wrapPolygon>
            </wp:wrapTight>
            <wp:docPr id="4654646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635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810">
        <w:rPr>
          <w:rFonts w:ascii="Times New Roman" w:eastAsia="Aptos" w:hAnsi="Times New Roman" w:cs="Times New Roman"/>
          <w:noProof/>
        </w:rPr>
        <w:drawing>
          <wp:anchor distT="0" distB="0" distL="114300" distR="114300" simplePos="0" relativeHeight="251658246" behindDoc="1" locked="0" layoutInCell="1" allowOverlap="1" wp14:anchorId="1F3370C0" wp14:editId="1379410E">
            <wp:simplePos x="0" y="0"/>
            <wp:positionH relativeFrom="column">
              <wp:posOffset>3086100</wp:posOffset>
            </wp:positionH>
            <wp:positionV relativeFrom="paragraph">
              <wp:posOffset>571500</wp:posOffset>
            </wp:positionV>
            <wp:extent cx="2546350" cy="1247775"/>
            <wp:effectExtent l="0" t="0" r="6350" b="0"/>
            <wp:wrapTight wrapText="bothSides">
              <wp:wrapPolygon edited="0">
                <wp:start x="0" y="0"/>
                <wp:lineTo x="0" y="21105"/>
                <wp:lineTo x="21492" y="21105"/>
                <wp:lineTo x="21492" y="0"/>
                <wp:lineTo x="0" y="0"/>
              </wp:wrapPolygon>
            </wp:wrapTight>
            <wp:docPr id="11161354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635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810">
        <w:rPr>
          <w:rFonts w:ascii="Times New Roman" w:eastAsia="Aptos" w:hAnsi="Times New Roman" w:cs="Times New Roman"/>
          <w:noProof/>
        </w:rPr>
        <w:drawing>
          <wp:anchor distT="0" distB="0" distL="114300" distR="114300" simplePos="0" relativeHeight="251658245" behindDoc="1" locked="0" layoutInCell="1" allowOverlap="1" wp14:anchorId="2DC17E9E" wp14:editId="732346A4">
            <wp:simplePos x="0" y="0"/>
            <wp:positionH relativeFrom="column">
              <wp:posOffset>342900</wp:posOffset>
            </wp:positionH>
            <wp:positionV relativeFrom="paragraph">
              <wp:posOffset>571500</wp:posOffset>
            </wp:positionV>
            <wp:extent cx="2546921" cy="1247775"/>
            <wp:effectExtent l="0" t="0" r="6350" b="0"/>
            <wp:wrapTight wrapText="bothSides">
              <wp:wrapPolygon edited="0">
                <wp:start x="0" y="0"/>
                <wp:lineTo x="0" y="21105"/>
                <wp:lineTo x="21492" y="21105"/>
                <wp:lineTo x="21492" y="0"/>
                <wp:lineTo x="0" y="0"/>
              </wp:wrapPolygon>
            </wp:wrapTight>
            <wp:docPr id="13053732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6921"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810">
        <w:rPr>
          <w:rFonts w:ascii="Times New Roman" w:eastAsia="Aptos" w:hAnsi="Times New Roman" w:cs="Times New Roman"/>
          <w:b/>
          <w:bCs/>
          <w:sz w:val="32"/>
          <w:szCs w:val="32"/>
        </w:rPr>
        <w:t>Results</w:t>
      </w:r>
    </w:p>
    <w:p w14:paraId="500B0A14" w14:textId="77777777" w:rsidR="00655810" w:rsidRPr="00655810" w:rsidRDefault="00655810" w:rsidP="00655810">
      <w:pPr>
        <w:spacing w:line="480" w:lineRule="auto"/>
        <w:rPr>
          <w:rFonts w:ascii="Times New Roman" w:eastAsia="Aptos" w:hAnsi="Times New Roman" w:cs="Times New Roman"/>
        </w:rPr>
      </w:pPr>
      <w:r w:rsidRPr="00655810">
        <w:rPr>
          <w:rFonts w:ascii="Times New Roman" w:eastAsia="Aptos" w:hAnsi="Times New Roman" w:cs="Times New Roman"/>
        </w:rPr>
        <w:tab/>
      </w:r>
    </w:p>
    <w:p w14:paraId="528E7303" w14:textId="77777777" w:rsidR="00655810" w:rsidRPr="00655810" w:rsidRDefault="00655810" w:rsidP="00655810">
      <w:pPr>
        <w:spacing w:line="480" w:lineRule="auto"/>
        <w:rPr>
          <w:rFonts w:ascii="Times New Roman" w:eastAsia="Aptos" w:hAnsi="Times New Roman" w:cs="Times New Roman"/>
        </w:rPr>
      </w:pPr>
    </w:p>
    <w:p w14:paraId="3DDF1A73" w14:textId="77777777" w:rsidR="00655810" w:rsidRPr="00655810" w:rsidRDefault="00655810" w:rsidP="00655810">
      <w:pPr>
        <w:spacing w:line="480" w:lineRule="auto"/>
        <w:rPr>
          <w:rFonts w:ascii="Times New Roman" w:eastAsia="Aptos" w:hAnsi="Times New Roman" w:cs="Times New Roman"/>
        </w:rPr>
      </w:pPr>
    </w:p>
    <w:p w14:paraId="32514A9C" w14:textId="17301408" w:rsidR="00627F78" w:rsidRPr="003421B4" w:rsidRDefault="00655810" w:rsidP="002A5C8D">
      <w:pPr>
        <w:spacing w:line="480" w:lineRule="auto"/>
        <w:rPr>
          <w:rFonts w:ascii="Times New Roman" w:eastAsia="Aptos" w:hAnsi="Times New Roman" w:cs="Times New Roman"/>
        </w:rPr>
      </w:pPr>
      <w:r w:rsidRPr="00655810">
        <w:rPr>
          <w:rFonts w:ascii="Times New Roman" w:eastAsia="Aptos" w:hAnsi="Times New Roman" w:cs="Times New Roman"/>
        </w:rPr>
        <w:tab/>
        <w:t>Our optimal hedging strategy provides the results in the tables above based on the 30,000 normal distribution random variables</w:t>
      </w:r>
      <w:r w:rsidR="00930A78">
        <w:rPr>
          <w:rFonts w:ascii="Times New Roman" w:eastAsia="Aptos" w:hAnsi="Times New Roman" w:cs="Times New Roman"/>
        </w:rPr>
        <w:t xml:space="preserve">.  </w:t>
      </w:r>
      <w:r w:rsidRPr="00655810">
        <w:rPr>
          <w:rFonts w:ascii="Times New Roman" w:eastAsia="Aptos" w:hAnsi="Times New Roman" w:cs="Times New Roman"/>
        </w:rPr>
        <w:t>A negative cost of hedging is a gain in the two upward scenarios</w:t>
      </w:r>
      <w:r w:rsidR="00930A78">
        <w:rPr>
          <w:rFonts w:ascii="Times New Roman" w:eastAsia="Aptos" w:hAnsi="Times New Roman" w:cs="Times New Roman"/>
        </w:rPr>
        <w:t xml:space="preserve">.  </w:t>
      </w:r>
      <w:r w:rsidRPr="00655810">
        <w:rPr>
          <w:rFonts w:ascii="Times New Roman" w:eastAsia="Aptos" w:hAnsi="Times New Roman" w:cs="Times New Roman"/>
        </w:rPr>
        <w:t xml:space="preserve">From these results, we are slightly </w:t>
      </w:r>
      <w:proofErr w:type="spellStart"/>
      <w:r w:rsidRPr="00655810">
        <w:rPr>
          <w:rFonts w:ascii="Times New Roman" w:eastAsia="Aptos" w:hAnsi="Times New Roman" w:cs="Times New Roman"/>
        </w:rPr>
        <w:t>overhedge</w:t>
      </w:r>
      <w:r w:rsidR="002563E5">
        <w:rPr>
          <w:rFonts w:ascii="Times New Roman" w:eastAsia="Aptos" w:hAnsi="Times New Roman" w:cs="Times New Roman"/>
        </w:rPr>
        <w:t>d</w:t>
      </w:r>
      <w:proofErr w:type="spellEnd"/>
      <w:r w:rsidRPr="00655810">
        <w:rPr>
          <w:rFonts w:ascii="Times New Roman" w:eastAsia="Aptos" w:hAnsi="Times New Roman" w:cs="Times New Roman"/>
        </w:rPr>
        <w:t>, benefitting from upward price changes and losing on downward price changes</w:t>
      </w:r>
      <w:r w:rsidR="00930A78">
        <w:rPr>
          <w:rFonts w:ascii="Times New Roman" w:eastAsia="Aptos" w:hAnsi="Times New Roman" w:cs="Times New Roman"/>
        </w:rPr>
        <w:t xml:space="preserve">.  </w:t>
      </w:r>
      <w:r w:rsidRPr="00655810">
        <w:rPr>
          <w:rFonts w:ascii="Times New Roman" w:eastAsia="Aptos" w:hAnsi="Times New Roman" w:cs="Times New Roman"/>
        </w:rPr>
        <w:t>Our average true cost of hedging ranges from $(2.8) million to $2.6 million in extreme cases, or between -0.6% and 1.6% of the total amount we spend of diesel fuel in those scenarios</w:t>
      </w:r>
      <w:r w:rsidR="00930A78">
        <w:rPr>
          <w:rFonts w:ascii="Times New Roman" w:eastAsia="Aptos" w:hAnsi="Times New Roman" w:cs="Times New Roman"/>
        </w:rPr>
        <w:t xml:space="preserve">.  </w:t>
      </w:r>
      <w:r w:rsidRPr="00655810">
        <w:rPr>
          <w:rFonts w:ascii="Times New Roman" w:eastAsia="Aptos" w:hAnsi="Times New Roman" w:cs="Times New Roman"/>
        </w:rPr>
        <w:t>However, this strategy was made to yield the optimal result for all scenarios based on their likelihood</w:t>
      </w:r>
      <w:r w:rsidR="00930A78">
        <w:rPr>
          <w:rFonts w:ascii="Times New Roman" w:eastAsia="Aptos" w:hAnsi="Times New Roman" w:cs="Times New Roman"/>
        </w:rPr>
        <w:t xml:space="preserve">.  </w:t>
      </w:r>
      <w:r w:rsidRPr="00655810">
        <w:rPr>
          <w:rFonts w:ascii="Times New Roman" w:eastAsia="Aptos" w:hAnsi="Times New Roman" w:cs="Times New Roman"/>
        </w:rPr>
        <w:t>In the last 8 years, the spot price was on a trend up for about 65.6% of the time, a down trend for about 17.7% of the time, and about 8.3% of the time for the other two</w:t>
      </w:r>
      <w:r w:rsidR="00930A78">
        <w:rPr>
          <w:rFonts w:ascii="Times New Roman" w:eastAsia="Aptos" w:hAnsi="Times New Roman" w:cs="Times New Roman"/>
        </w:rPr>
        <w:t xml:space="preserve">. </w:t>
      </w:r>
      <w:r w:rsidRPr="00655810">
        <w:rPr>
          <w:rFonts w:ascii="Times New Roman" w:eastAsia="Aptos" w:hAnsi="Times New Roman" w:cs="Times New Roman"/>
        </w:rPr>
        <w:t>Given these weights, the weighted average true cost of hedging over 120,000 scenarios on a normal distribution is $(0.024) million, only 0.006% of the total amount spent on diesel in that scenario of $342.8 million</w:t>
      </w:r>
      <w:r w:rsidR="00930A78">
        <w:rPr>
          <w:rFonts w:ascii="Times New Roman" w:eastAsia="Aptos" w:hAnsi="Times New Roman" w:cs="Times New Roman"/>
        </w:rPr>
        <w:t xml:space="preserve">.  </w:t>
      </w:r>
      <w:r w:rsidRPr="00655810">
        <w:rPr>
          <w:rFonts w:ascii="Times New Roman" w:eastAsia="Aptos" w:hAnsi="Times New Roman" w:cs="Times New Roman"/>
        </w:rPr>
        <w:t>This shows that our strategy provides an immaterially low cost for its level of protection from the fluctuation in diesel fuel prices</w:t>
      </w:r>
      <w:r w:rsidR="00930A78">
        <w:rPr>
          <w:rFonts w:ascii="Times New Roman" w:eastAsia="Aptos" w:hAnsi="Times New Roman" w:cs="Times New Roman"/>
        </w:rPr>
        <w:t xml:space="preserve">.  </w:t>
      </w:r>
    </w:p>
    <w:sectPr w:rsidR="00627F78" w:rsidRPr="003421B4" w:rsidSect="003421B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99BE" w14:textId="77777777" w:rsidR="008B5CF1" w:rsidRDefault="008B5CF1" w:rsidP="003421B4">
      <w:pPr>
        <w:spacing w:after="0" w:line="240" w:lineRule="auto"/>
      </w:pPr>
      <w:r>
        <w:separator/>
      </w:r>
    </w:p>
  </w:endnote>
  <w:endnote w:type="continuationSeparator" w:id="0">
    <w:p w14:paraId="25E0F3E7" w14:textId="77777777" w:rsidR="008B5CF1" w:rsidRDefault="008B5CF1" w:rsidP="0034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7FD5" w14:textId="77777777" w:rsidR="008B5CF1" w:rsidRDefault="008B5CF1" w:rsidP="003421B4">
      <w:pPr>
        <w:spacing w:after="0" w:line="240" w:lineRule="auto"/>
      </w:pPr>
      <w:r>
        <w:separator/>
      </w:r>
    </w:p>
  </w:footnote>
  <w:footnote w:type="continuationSeparator" w:id="0">
    <w:p w14:paraId="48354500" w14:textId="77777777" w:rsidR="008B5CF1" w:rsidRDefault="008B5CF1" w:rsidP="00342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96847664"/>
      <w:docPartObj>
        <w:docPartGallery w:val="Page Numbers (Top of Page)"/>
        <w:docPartUnique/>
      </w:docPartObj>
    </w:sdtPr>
    <w:sdtEndPr>
      <w:rPr>
        <w:noProof/>
      </w:rPr>
    </w:sdtEndPr>
    <w:sdtContent>
      <w:p w14:paraId="56F01F83" w14:textId="721BB931" w:rsidR="003421B4" w:rsidRPr="003421B4" w:rsidRDefault="003421B4">
        <w:pPr>
          <w:pStyle w:val="Header"/>
          <w:jc w:val="right"/>
          <w:rPr>
            <w:rFonts w:ascii="Times New Roman" w:hAnsi="Times New Roman" w:cs="Times New Roman"/>
          </w:rPr>
        </w:pPr>
        <w:r w:rsidRPr="003421B4">
          <w:rPr>
            <w:rFonts w:ascii="Times New Roman" w:hAnsi="Times New Roman" w:cs="Times New Roman"/>
          </w:rPr>
          <w:fldChar w:fldCharType="begin"/>
        </w:r>
        <w:r w:rsidRPr="003421B4">
          <w:rPr>
            <w:rFonts w:ascii="Times New Roman" w:hAnsi="Times New Roman" w:cs="Times New Roman"/>
          </w:rPr>
          <w:instrText xml:space="preserve"> PAGE   \* MERGEFORMAT </w:instrText>
        </w:r>
        <w:r w:rsidRPr="003421B4">
          <w:rPr>
            <w:rFonts w:ascii="Times New Roman" w:hAnsi="Times New Roman" w:cs="Times New Roman"/>
          </w:rPr>
          <w:fldChar w:fldCharType="separate"/>
        </w:r>
        <w:r w:rsidRPr="003421B4">
          <w:rPr>
            <w:rFonts w:ascii="Times New Roman" w:hAnsi="Times New Roman" w:cs="Times New Roman"/>
            <w:noProof/>
          </w:rPr>
          <w:t>2</w:t>
        </w:r>
        <w:r w:rsidRPr="003421B4">
          <w:rPr>
            <w:rFonts w:ascii="Times New Roman" w:hAnsi="Times New Roman" w:cs="Times New Roman"/>
            <w:noProof/>
          </w:rPr>
          <w:fldChar w:fldCharType="end"/>
        </w:r>
      </w:p>
    </w:sdtContent>
  </w:sdt>
  <w:p w14:paraId="75AEF348" w14:textId="77777777" w:rsidR="003421B4" w:rsidRDefault="00342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D9"/>
    <w:rsid w:val="00001544"/>
    <w:rsid w:val="0000364F"/>
    <w:rsid w:val="0001172A"/>
    <w:rsid w:val="0002664E"/>
    <w:rsid w:val="00027A22"/>
    <w:rsid w:val="000325F6"/>
    <w:rsid w:val="00032730"/>
    <w:rsid w:val="00036400"/>
    <w:rsid w:val="00040038"/>
    <w:rsid w:val="000416F1"/>
    <w:rsid w:val="00047FF3"/>
    <w:rsid w:val="00055F24"/>
    <w:rsid w:val="000652A1"/>
    <w:rsid w:val="000743C7"/>
    <w:rsid w:val="00075BA1"/>
    <w:rsid w:val="000809B2"/>
    <w:rsid w:val="000861A3"/>
    <w:rsid w:val="00091734"/>
    <w:rsid w:val="00092124"/>
    <w:rsid w:val="0009349F"/>
    <w:rsid w:val="00095542"/>
    <w:rsid w:val="000A1406"/>
    <w:rsid w:val="000A4114"/>
    <w:rsid w:val="000A4BE9"/>
    <w:rsid w:val="000A581C"/>
    <w:rsid w:val="000A7829"/>
    <w:rsid w:val="000B60E9"/>
    <w:rsid w:val="000C2863"/>
    <w:rsid w:val="000C63E7"/>
    <w:rsid w:val="000D3462"/>
    <w:rsid w:val="000D6CF3"/>
    <w:rsid w:val="000E259A"/>
    <w:rsid w:val="000F59F3"/>
    <w:rsid w:val="001149A6"/>
    <w:rsid w:val="001208AB"/>
    <w:rsid w:val="001311A9"/>
    <w:rsid w:val="00147907"/>
    <w:rsid w:val="00176011"/>
    <w:rsid w:val="001811D9"/>
    <w:rsid w:val="001821F6"/>
    <w:rsid w:val="001852AF"/>
    <w:rsid w:val="001A2A31"/>
    <w:rsid w:val="001B17F7"/>
    <w:rsid w:val="001B3AE0"/>
    <w:rsid w:val="001B6F2E"/>
    <w:rsid w:val="001E6519"/>
    <w:rsid w:val="001F1AB9"/>
    <w:rsid w:val="00216513"/>
    <w:rsid w:val="002319A7"/>
    <w:rsid w:val="00243239"/>
    <w:rsid w:val="002462FD"/>
    <w:rsid w:val="00247FF2"/>
    <w:rsid w:val="00255726"/>
    <w:rsid w:val="002563E5"/>
    <w:rsid w:val="00267D0B"/>
    <w:rsid w:val="0027468F"/>
    <w:rsid w:val="0028078E"/>
    <w:rsid w:val="002833C4"/>
    <w:rsid w:val="00286634"/>
    <w:rsid w:val="002A5C8D"/>
    <w:rsid w:val="002A762F"/>
    <w:rsid w:val="002D4C28"/>
    <w:rsid w:val="00306817"/>
    <w:rsid w:val="003068C0"/>
    <w:rsid w:val="003315ED"/>
    <w:rsid w:val="003345DE"/>
    <w:rsid w:val="003421B4"/>
    <w:rsid w:val="00353208"/>
    <w:rsid w:val="00361ED7"/>
    <w:rsid w:val="003628D8"/>
    <w:rsid w:val="0036561E"/>
    <w:rsid w:val="00377980"/>
    <w:rsid w:val="00387D73"/>
    <w:rsid w:val="00392D90"/>
    <w:rsid w:val="00397036"/>
    <w:rsid w:val="003B1FF9"/>
    <w:rsid w:val="003B2061"/>
    <w:rsid w:val="003B470B"/>
    <w:rsid w:val="003B5AF1"/>
    <w:rsid w:val="003B6C95"/>
    <w:rsid w:val="003C2BCC"/>
    <w:rsid w:val="00400337"/>
    <w:rsid w:val="00405803"/>
    <w:rsid w:val="00406C74"/>
    <w:rsid w:val="00411004"/>
    <w:rsid w:val="0041100B"/>
    <w:rsid w:val="00413012"/>
    <w:rsid w:val="00453B3B"/>
    <w:rsid w:val="0046249A"/>
    <w:rsid w:val="0046372B"/>
    <w:rsid w:val="00471494"/>
    <w:rsid w:val="00475ED2"/>
    <w:rsid w:val="004B253D"/>
    <w:rsid w:val="004B2B84"/>
    <w:rsid w:val="004D0917"/>
    <w:rsid w:val="004D5AB7"/>
    <w:rsid w:val="004E2C7D"/>
    <w:rsid w:val="004F7461"/>
    <w:rsid w:val="00502A07"/>
    <w:rsid w:val="0050637F"/>
    <w:rsid w:val="00513008"/>
    <w:rsid w:val="00514D14"/>
    <w:rsid w:val="005172D8"/>
    <w:rsid w:val="005175F1"/>
    <w:rsid w:val="005332CE"/>
    <w:rsid w:val="005524F1"/>
    <w:rsid w:val="005764F1"/>
    <w:rsid w:val="00582B07"/>
    <w:rsid w:val="00587378"/>
    <w:rsid w:val="00594E43"/>
    <w:rsid w:val="005A3E44"/>
    <w:rsid w:val="005A5BFF"/>
    <w:rsid w:val="005A61FB"/>
    <w:rsid w:val="005A7A64"/>
    <w:rsid w:val="005A7B1B"/>
    <w:rsid w:val="005A7F87"/>
    <w:rsid w:val="005B2CC9"/>
    <w:rsid w:val="005C17C2"/>
    <w:rsid w:val="005C2A1D"/>
    <w:rsid w:val="005C7934"/>
    <w:rsid w:val="005D61F1"/>
    <w:rsid w:val="005F090F"/>
    <w:rsid w:val="005F3E3D"/>
    <w:rsid w:val="005F4A76"/>
    <w:rsid w:val="00604127"/>
    <w:rsid w:val="00612E5F"/>
    <w:rsid w:val="00612F2F"/>
    <w:rsid w:val="006251CB"/>
    <w:rsid w:val="00627F78"/>
    <w:rsid w:val="006377BF"/>
    <w:rsid w:val="00645143"/>
    <w:rsid w:val="00646B2D"/>
    <w:rsid w:val="00655810"/>
    <w:rsid w:val="00655824"/>
    <w:rsid w:val="00660CF6"/>
    <w:rsid w:val="006613A3"/>
    <w:rsid w:val="00674054"/>
    <w:rsid w:val="006854DD"/>
    <w:rsid w:val="00687022"/>
    <w:rsid w:val="006951DC"/>
    <w:rsid w:val="006B1A94"/>
    <w:rsid w:val="006B6C5E"/>
    <w:rsid w:val="006C34BA"/>
    <w:rsid w:val="006D2C03"/>
    <w:rsid w:val="006E7A4A"/>
    <w:rsid w:val="006E7E83"/>
    <w:rsid w:val="006F0554"/>
    <w:rsid w:val="00712836"/>
    <w:rsid w:val="00713451"/>
    <w:rsid w:val="00722E8E"/>
    <w:rsid w:val="00730C00"/>
    <w:rsid w:val="00745BC7"/>
    <w:rsid w:val="00761E27"/>
    <w:rsid w:val="007645C9"/>
    <w:rsid w:val="0077226D"/>
    <w:rsid w:val="00775569"/>
    <w:rsid w:val="00782559"/>
    <w:rsid w:val="00785943"/>
    <w:rsid w:val="00787C53"/>
    <w:rsid w:val="0079100F"/>
    <w:rsid w:val="00793F0A"/>
    <w:rsid w:val="007B66BE"/>
    <w:rsid w:val="007C0027"/>
    <w:rsid w:val="007C76A5"/>
    <w:rsid w:val="007C7D2D"/>
    <w:rsid w:val="007D5A5A"/>
    <w:rsid w:val="007D60E5"/>
    <w:rsid w:val="007D7778"/>
    <w:rsid w:val="008201EF"/>
    <w:rsid w:val="00825C08"/>
    <w:rsid w:val="00827A09"/>
    <w:rsid w:val="00827F0F"/>
    <w:rsid w:val="00830ABD"/>
    <w:rsid w:val="00830F53"/>
    <w:rsid w:val="008376F8"/>
    <w:rsid w:val="0084562E"/>
    <w:rsid w:val="00861D22"/>
    <w:rsid w:val="00880542"/>
    <w:rsid w:val="00892B4E"/>
    <w:rsid w:val="00894035"/>
    <w:rsid w:val="00894963"/>
    <w:rsid w:val="008A52F7"/>
    <w:rsid w:val="008B5CF1"/>
    <w:rsid w:val="008C2FF0"/>
    <w:rsid w:val="008C3CBF"/>
    <w:rsid w:val="008E1B34"/>
    <w:rsid w:val="008E6047"/>
    <w:rsid w:val="008E6A05"/>
    <w:rsid w:val="0090543B"/>
    <w:rsid w:val="00917A3C"/>
    <w:rsid w:val="00930A78"/>
    <w:rsid w:val="00936A1F"/>
    <w:rsid w:val="00936C04"/>
    <w:rsid w:val="00941AB4"/>
    <w:rsid w:val="00942928"/>
    <w:rsid w:val="00946E46"/>
    <w:rsid w:val="0095138C"/>
    <w:rsid w:val="00955F7A"/>
    <w:rsid w:val="009630BF"/>
    <w:rsid w:val="00992B8A"/>
    <w:rsid w:val="009A3508"/>
    <w:rsid w:val="009C5440"/>
    <w:rsid w:val="009D4D3A"/>
    <w:rsid w:val="009E3065"/>
    <w:rsid w:val="009E5FA8"/>
    <w:rsid w:val="00A07242"/>
    <w:rsid w:val="00A101D7"/>
    <w:rsid w:val="00A17442"/>
    <w:rsid w:val="00A24716"/>
    <w:rsid w:val="00A3085C"/>
    <w:rsid w:val="00A3283A"/>
    <w:rsid w:val="00A40C45"/>
    <w:rsid w:val="00A419EA"/>
    <w:rsid w:val="00A500B6"/>
    <w:rsid w:val="00A613CB"/>
    <w:rsid w:val="00A72AEF"/>
    <w:rsid w:val="00A80A56"/>
    <w:rsid w:val="00A81021"/>
    <w:rsid w:val="00A85F48"/>
    <w:rsid w:val="00AA1C47"/>
    <w:rsid w:val="00AC1095"/>
    <w:rsid w:val="00AE009F"/>
    <w:rsid w:val="00B14D19"/>
    <w:rsid w:val="00B239BA"/>
    <w:rsid w:val="00B43831"/>
    <w:rsid w:val="00B82D62"/>
    <w:rsid w:val="00B94E56"/>
    <w:rsid w:val="00BA5CE2"/>
    <w:rsid w:val="00BA72C7"/>
    <w:rsid w:val="00BA781D"/>
    <w:rsid w:val="00BB1C80"/>
    <w:rsid w:val="00BE19DC"/>
    <w:rsid w:val="00BF1598"/>
    <w:rsid w:val="00BF3974"/>
    <w:rsid w:val="00C03547"/>
    <w:rsid w:val="00C14CBD"/>
    <w:rsid w:val="00C240AC"/>
    <w:rsid w:val="00C338F1"/>
    <w:rsid w:val="00C66251"/>
    <w:rsid w:val="00C70F26"/>
    <w:rsid w:val="00C73917"/>
    <w:rsid w:val="00C866F5"/>
    <w:rsid w:val="00C87F8C"/>
    <w:rsid w:val="00C91492"/>
    <w:rsid w:val="00CA398F"/>
    <w:rsid w:val="00CC5DD7"/>
    <w:rsid w:val="00CC6838"/>
    <w:rsid w:val="00CD7C6B"/>
    <w:rsid w:val="00CE6885"/>
    <w:rsid w:val="00CF2963"/>
    <w:rsid w:val="00CF460C"/>
    <w:rsid w:val="00D02A6C"/>
    <w:rsid w:val="00D04C10"/>
    <w:rsid w:val="00D06C92"/>
    <w:rsid w:val="00D1140F"/>
    <w:rsid w:val="00D1290C"/>
    <w:rsid w:val="00D214C5"/>
    <w:rsid w:val="00D315CC"/>
    <w:rsid w:val="00D352AE"/>
    <w:rsid w:val="00D36B9E"/>
    <w:rsid w:val="00D46A41"/>
    <w:rsid w:val="00D62DF6"/>
    <w:rsid w:val="00D75793"/>
    <w:rsid w:val="00D81621"/>
    <w:rsid w:val="00D8227C"/>
    <w:rsid w:val="00DA19BF"/>
    <w:rsid w:val="00DB6D17"/>
    <w:rsid w:val="00DC2341"/>
    <w:rsid w:val="00DC3BF8"/>
    <w:rsid w:val="00DC7D04"/>
    <w:rsid w:val="00DD5B93"/>
    <w:rsid w:val="00DE1E23"/>
    <w:rsid w:val="00DE2A89"/>
    <w:rsid w:val="00E029C3"/>
    <w:rsid w:val="00E0351D"/>
    <w:rsid w:val="00E03523"/>
    <w:rsid w:val="00E051E8"/>
    <w:rsid w:val="00E0750E"/>
    <w:rsid w:val="00E07FC8"/>
    <w:rsid w:val="00E11582"/>
    <w:rsid w:val="00E14B3D"/>
    <w:rsid w:val="00E25C76"/>
    <w:rsid w:val="00E35EFB"/>
    <w:rsid w:val="00E40565"/>
    <w:rsid w:val="00E46C7B"/>
    <w:rsid w:val="00E70AFA"/>
    <w:rsid w:val="00E7145E"/>
    <w:rsid w:val="00E752D9"/>
    <w:rsid w:val="00E75652"/>
    <w:rsid w:val="00E76EDB"/>
    <w:rsid w:val="00E93AB2"/>
    <w:rsid w:val="00E968BA"/>
    <w:rsid w:val="00EA6C3A"/>
    <w:rsid w:val="00EC321B"/>
    <w:rsid w:val="00EC3416"/>
    <w:rsid w:val="00EC3E7C"/>
    <w:rsid w:val="00ED78A2"/>
    <w:rsid w:val="00EF1AC0"/>
    <w:rsid w:val="00F01036"/>
    <w:rsid w:val="00F10685"/>
    <w:rsid w:val="00F370E7"/>
    <w:rsid w:val="00F44DC6"/>
    <w:rsid w:val="00F504CF"/>
    <w:rsid w:val="00F508D8"/>
    <w:rsid w:val="00F52F38"/>
    <w:rsid w:val="00F640E8"/>
    <w:rsid w:val="00F64C0A"/>
    <w:rsid w:val="00F83766"/>
    <w:rsid w:val="00F93D15"/>
    <w:rsid w:val="00FE5355"/>
    <w:rsid w:val="00FF3E97"/>
    <w:rsid w:val="073B0C17"/>
    <w:rsid w:val="14135FFB"/>
    <w:rsid w:val="388968DF"/>
    <w:rsid w:val="569084A8"/>
    <w:rsid w:val="74628E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5FCE"/>
  <w15:chartTrackingRefBased/>
  <w15:docId w15:val="{ACF6D21A-0322-41C7-89CF-C0D5A9CE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D9"/>
    <w:rPr>
      <w:rFonts w:eastAsiaTheme="majorEastAsia" w:cstheme="majorBidi"/>
      <w:color w:val="272727" w:themeColor="text1" w:themeTint="D8"/>
    </w:rPr>
  </w:style>
  <w:style w:type="paragraph" w:styleId="Title">
    <w:name w:val="Title"/>
    <w:basedOn w:val="Normal"/>
    <w:next w:val="Normal"/>
    <w:link w:val="TitleChar"/>
    <w:uiPriority w:val="10"/>
    <w:qFormat/>
    <w:rsid w:val="00181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D9"/>
    <w:pPr>
      <w:spacing w:before="160"/>
      <w:jc w:val="center"/>
    </w:pPr>
    <w:rPr>
      <w:i/>
      <w:iCs/>
      <w:color w:val="404040" w:themeColor="text1" w:themeTint="BF"/>
    </w:rPr>
  </w:style>
  <w:style w:type="character" w:customStyle="1" w:styleId="QuoteChar">
    <w:name w:val="Quote Char"/>
    <w:basedOn w:val="DefaultParagraphFont"/>
    <w:link w:val="Quote"/>
    <w:uiPriority w:val="29"/>
    <w:rsid w:val="001811D9"/>
    <w:rPr>
      <w:i/>
      <w:iCs/>
      <w:color w:val="404040" w:themeColor="text1" w:themeTint="BF"/>
    </w:rPr>
  </w:style>
  <w:style w:type="paragraph" w:styleId="ListParagraph">
    <w:name w:val="List Paragraph"/>
    <w:basedOn w:val="Normal"/>
    <w:uiPriority w:val="34"/>
    <w:qFormat/>
    <w:rsid w:val="001811D9"/>
    <w:pPr>
      <w:ind w:left="720"/>
      <w:contextualSpacing/>
    </w:pPr>
  </w:style>
  <w:style w:type="character" w:styleId="IntenseEmphasis">
    <w:name w:val="Intense Emphasis"/>
    <w:basedOn w:val="DefaultParagraphFont"/>
    <w:uiPriority w:val="21"/>
    <w:qFormat/>
    <w:rsid w:val="001811D9"/>
    <w:rPr>
      <w:i/>
      <w:iCs/>
      <w:color w:val="0F4761" w:themeColor="accent1" w:themeShade="BF"/>
    </w:rPr>
  </w:style>
  <w:style w:type="paragraph" w:styleId="IntenseQuote">
    <w:name w:val="Intense Quote"/>
    <w:basedOn w:val="Normal"/>
    <w:next w:val="Normal"/>
    <w:link w:val="IntenseQuoteChar"/>
    <w:uiPriority w:val="30"/>
    <w:qFormat/>
    <w:rsid w:val="0018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1D9"/>
    <w:rPr>
      <w:i/>
      <w:iCs/>
      <w:color w:val="0F4761" w:themeColor="accent1" w:themeShade="BF"/>
    </w:rPr>
  </w:style>
  <w:style w:type="character" w:styleId="IntenseReference">
    <w:name w:val="Intense Reference"/>
    <w:basedOn w:val="DefaultParagraphFont"/>
    <w:uiPriority w:val="32"/>
    <w:qFormat/>
    <w:rsid w:val="001811D9"/>
    <w:rPr>
      <w:b/>
      <w:bCs/>
      <w:smallCaps/>
      <w:color w:val="0F4761" w:themeColor="accent1" w:themeShade="BF"/>
      <w:spacing w:val="5"/>
    </w:rPr>
  </w:style>
  <w:style w:type="paragraph" w:styleId="Header">
    <w:name w:val="header"/>
    <w:basedOn w:val="Normal"/>
    <w:link w:val="HeaderChar"/>
    <w:uiPriority w:val="99"/>
    <w:unhideWhenUsed/>
    <w:rsid w:val="0034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1B4"/>
  </w:style>
  <w:style w:type="paragraph" w:styleId="Footer">
    <w:name w:val="footer"/>
    <w:basedOn w:val="Normal"/>
    <w:link w:val="FooterChar"/>
    <w:uiPriority w:val="99"/>
    <w:unhideWhenUsed/>
    <w:rsid w:val="0034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072239">
      <w:bodyDiv w:val="1"/>
      <w:marLeft w:val="0"/>
      <w:marRight w:val="0"/>
      <w:marTop w:val="0"/>
      <w:marBottom w:val="0"/>
      <w:divBdr>
        <w:top w:val="none" w:sz="0" w:space="0" w:color="auto"/>
        <w:left w:val="none" w:sz="0" w:space="0" w:color="auto"/>
        <w:bottom w:val="none" w:sz="0" w:space="0" w:color="auto"/>
        <w:right w:val="none" w:sz="0" w:space="0" w:color="auto"/>
      </w:divBdr>
    </w:div>
    <w:div w:id="17379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46EC1B3143945B8EB1EEDBE9221A9" ma:contentTypeVersion="10" ma:contentTypeDescription="Create a new document." ma:contentTypeScope="" ma:versionID="fb9f9bb1966dd570965f37b883ffd58d">
  <xsd:schema xmlns:xsd="http://www.w3.org/2001/XMLSchema" xmlns:xs="http://www.w3.org/2001/XMLSchema" xmlns:p="http://schemas.microsoft.com/office/2006/metadata/properties" xmlns:ns3="f6f1f6ab-d112-4160-bbfd-2d0ed73e1000" targetNamespace="http://schemas.microsoft.com/office/2006/metadata/properties" ma:root="true" ma:fieldsID="6b9aa9b69d7fc6fed63cf84e87c6a25c" ns3:_="">
    <xsd:import namespace="f6f1f6ab-d112-4160-bbfd-2d0ed73e10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_activity"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1f6ab-d112-4160-bbfd-2d0ed73e1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f1f6ab-d112-4160-bbfd-2d0ed73e1000" xsi:nil="true"/>
  </documentManagement>
</p:properties>
</file>

<file path=customXml/itemProps1.xml><?xml version="1.0" encoding="utf-8"?>
<ds:datastoreItem xmlns:ds="http://schemas.openxmlformats.org/officeDocument/2006/customXml" ds:itemID="{359CF9A0-73DA-4D55-BC48-0FB0E6385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1f6ab-d112-4160-bbfd-2d0ed73e1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4C89B-4B19-45AE-BE97-A71633AE7CEE}">
  <ds:schemaRefs>
    <ds:schemaRef ds:uri="http://schemas.microsoft.com/sharepoint/v3/contenttype/forms"/>
  </ds:schemaRefs>
</ds:datastoreItem>
</file>

<file path=customXml/itemProps3.xml><?xml version="1.0" encoding="utf-8"?>
<ds:datastoreItem xmlns:ds="http://schemas.openxmlformats.org/officeDocument/2006/customXml" ds:itemID="{4C77B76C-61C1-4434-BF5E-87FCE35B4681}">
  <ds:schemaRefs>
    <ds:schemaRef ds:uri="http://schemas.microsoft.com/office/2006/metadata/properties"/>
    <ds:schemaRef ds:uri="http://schemas.microsoft.com/office/infopath/2007/PartnerControls"/>
    <ds:schemaRef ds:uri="f6f1f6ab-d112-4160-bbfd-2d0ed73e10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Kelley</dc:creator>
  <cp:keywords/>
  <dc:description/>
  <cp:lastModifiedBy>Angel Gemilang</cp:lastModifiedBy>
  <cp:revision>2</cp:revision>
  <dcterms:created xsi:type="dcterms:W3CDTF">2026-05-29T00:39:00Z</dcterms:created>
  <dcterms:modified xsi:type="dcterms:W3CDTF">2026-05-29T00:39:00Z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0x010100DE446EC1B3143945B8EB1EEDBE9221A9</vt:lpwstr>
  </property>
</Properties>
</file>